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44" w:name="pe-and-sport-premium-report-2025-to-2026"/>
    <w:p>
      <w:pPr>
        <w:pStyle w:val="Heading1"/>
      </w:pPr>
      <w:r>
        <w:t xml:space="preserve">PE and Sport Premium Report 2025 to 2026</w:t>
      </w:r>
    </w:p>
    <w:p>
      <w:pPr>
        <w:pStyle w:val="FirstParagraph"/>
      </w:pPr>
      <w:r>
        <w:rPr>
          <w:bCs/>
          <w:b/>
        </w:rPr>
        <w:t xml:space="preserve">Altarnun Primary School</w:t>
      </w:r>
      <w:r>
        <w:t xml:space="preserve"> </w:t>
      </w:r>
      <w:r>
        <w:t xml:space="preserve">Part of Athena Learning Trust</w:t>
      </w:r>
    </w:p>
    <w:tbl>
      <w:tblPr>
        <w:tblStyle w:val="Table"/>
        <w:tblW w:type="auto" w:w="0"/>
        <w:tblLook w:firstRow="0" w:lastRow="0" w:firstColumn="0" w:lastColumn="0" w:noHBand="0" w:noVBand="0" w:val="0000"/>
        <w:jc w:val="start"/>
      </w:tblPr>
      <w:tblGrid>
        <w:gridCol w:w="3960"/>
        <w:gridCol w:w="3960"/>
      </w:tblGrid>
      <w:tr>
        <w:tc>
          <w:tcPr/>
          <w:p>
            <w:pPr>
              <w:pStyle w:val="Compact"/>
              <w:jc w:val="left"/>
            </w:pPr>
            <w:r>
              <w:t xml:space="preserve">Academic year covered</w:t>
            </w:r>
          </w:p>
        </w:tc>
        <w:tc>
          <w:tcPr/>
          <w:p>
            <w:pPr>
              <w:pStyle w:val="Compact"/>
              <w:jc w:val="left"/>
            </w:pPr>
            <w:r>
              <w:t xml:space="preserve">2025 to 2026</w:t>
            </w:r>
          </w:p>
        </w:tc>
      </w:tr>
      <w:tr>
        <w:tc>
          <w:tcPr/>
          <w:p>
            <w:pPr>
              <w:pStyle w:val="Compact"/>
              <w:jc w:val="left"/>
            </w:pPr>
            <w:r>
              <w:t xml:space="preserve">Date published</w:t>
            </w:r>
          </w:p>
        </w:tc>
        <w:tc>
          <w:tcPr/>
          <w:p>
            <w:pPr>
              <w:pStyle w:val="Compact"/>
              <w:jc w:val="left"/>
            </w:pPr>
            <w:r>
              <w:t xml:space="preserve">27 July 2026</w:t>
            </w:r>
          </w:p>
        </w:tc>
      </w:tr>
      <w:tr>
        <w:tc>
          <w:tcPr/>
          <w:p>
            <w:pPr>
              <w:pStyle w:val="Compact"/>
              <w:jc w:val="left"/>
            </w:pPr>
            <w:r>
              <w:t xml:space="preserve">Scheduled for review by the Local Governing Body</w:t>
            </w:r>
          </w:p>
        </w:tc>
        <w:tc>
          <w:tcPr/>
          <w:p>
            <w:pPr>
              <w:pStyle w:val="Compact"/>
              <w:jc w:val="left"/>
            </w:pPr>
            <w:r>
              <w:t xml:space="preserve">October 2026</w:t>
            </w:r>
          </w:p>
        </w:tc>
      </w:tr>
      <w:tr>
        <w:tc>
          <w:tcPr/>
          <w:p>
            <w:pPr>
              <w:pStyle w:val="Compact"/>
              <w:jc w:val="left"/>
            </w:pPr>
            <w:r>
              <w:t xml:space="preserve">Lead for PE and sport</w:t>
            </w:r>
          </w:p>
        </w:tc>
        <w:tc>
          <w:tcPr/>
          <w:p>
            <w:pPr>
              <w:pStyle w:val="Compact"/>
              <w:jc w:val="left"/>
            </w:pPr>
            <w:r>
              <w:t xml:space="preserve">Tom Lyle</w:t>
            </w:r>
          </w:p>
        </w:tc>
      </w:tr>
      <w:tr>
        <w:tc>
          <w:tcPr/>
          <w:p>
            <w:pPr>
              <w:pStyle w:val="Compact"/>
              <w:jc w:val="left"/>
            </w:pPr>
            <w:r>
              <w:t xml:space="preserve">Governor with oversight of PE and sport</w:t>
            </w:r>
          </w:p>
        </w:tc>
        <w:tc>
          <w:tcPr/>
          <w:p>
            <w:pPr>
              <w:pStyle w:val="Compact"/>
              <w:jc w:val="left"/>
            </w:pPr>
            <w:r>
              <w:t xml:space="preserve">Jo Luxford</w:t>
            </w:r>
          </w:p>
        </w:tc>
      </w:tr>
      <w:tr>
        <w:tc>
          <w:tcPr/>
          <w:p>
            <w:pPr>
              <w:pStyle w:val="Compact"/>
              <w:jc w:val="left"/>
            </w:pPr>
            <w:r>
              <w:t xml:space="preserve">Date of next review</w:t>
            </w:r>
          </w:p>
        </w:tc>
        <w:tc>
          <w:tcPr/>
          <w:p>
            <w:pPr>
              <w:pStyle w:val="Compact"/>
              <w:jc w:val="left"/>
            </w:pPr>
            <w:r>
              <w:t xml:space="preserve">May 2027</w:t>
            </w:r>
          </w:p>
        </w:tc>
      </w:tr>
    </w:tbl>
    <w:p>
      <w:r>
        <w:pict>
          <v:rect style="width:0;height:1.5pt" o:hralign="center" o:hrstd="t" o:hr="t"/>
        </w:pict>
      </w:r>
    </w:p>
    <w:bookmarkStart w:id="20" w:name="what-the-pe-and-sport-premium-is-for"/>
    <w:p>
      <w:pPr>
        <w:pStyle w:val="Heading2"/>
      </w:pPr>
      <w:r>
        <w:t xml:space="preserve">1. What the PE and sport premium is for</w:t>
      </w:r>
    </w:p>
    <w:p>
      <w:pPr>
        <w:pStyle w:val="FirstParagraph"/>
      </w:pPr>
      <w:r>
        <w:t xml:space="preserve">The PE and sport premium is government funding provided to help primary schools make additional and sustainable improvements to the quality of the physical education, physical activity and sport they offer.</w:t>
      </w:r>
    </w:p>
    <w:p>
      <w:pPr>
        <w:pStyle w:val="BodyText"/>
      </w:pPr>
      <w:r>
        <w:t xml:space="preserve">The funding must be used to:</w:t>
      </w:r>
    </w:p>
    <w:p>
      <w:pPr>
        <w:numPr>
          <w:ilvl w:val="0"/>
          <w:numId w:val="1001"/>
        </w:numPr>
        <w:pStyle w:val="Compact"/>
      </w:pPr>
      <w:r>
        <w:t xml:space="preserve">build capacity and capability within the school, so that improvements benefit pupils joining us in future years</w:t>
      </w:r>
    </w:p>
    <w:p>
      <w:pPr>
        <w:numPr>
          <w:ilvl w:val="0"/>
          <w:numId w:val="1001"/>
        </w:numPr>
        <w:pStyle w:val="Compact"/>
      </w:pPr>
      <w:r>
        <w:t xml:space="preserve">develop or add to the PE, sport and physical activity that the school already provides</w:t>
      </w:r>
    </w:p>
    <w:p>
      <w:pPr>
        <w:pStyle w:val="FirstParagraph"/>
      </w:pPr>
      <w:r>
        <w:t xml:space="preserve">Schools are asked to focus their spending on five key indicators:</w:t>
      </w:r>
    </w:p>
    <w:p>
      <w:pPr>
        <w:numPr>
          <w:ilvl w:val="0"/>
          <w:numId w:val="1002"/>
        </w:numPr>
        <w:pStyle w:val="Compact"/>
      </w:pPr>
      <w:r>
        <w:t xml:space="preserve">Increasing all staff’s confidence, knowledge and skills in teaching PE and sport</w:t>
      </w:r>
    </w:p>
    <w:p>
      <w:pPr>
        <w:numPr>
          <w:ilvl w:val="0"/>
          <w:numId w:val="1002"/>
        </w:numPr>
        <w:pStyle w:val="Compact"/>
      </w:pPr>
      <w:r>
        <w:t xml:space="preserve">Increasing all pupils’ engagement in regular physical activity</w:t>
      </w:r>
    </w:p>
    <w:p>
      <w:pPr>
        <w:numPr>
          <w:ilvl w:val="0"/>
          <w:numId w:val="1002"/>
        </w:numPr>
        <w:pStyle w:val="Compact"/>
      </w:pPr>
      <w:r>
        <w:t xml:space="preserve">Raising the profile of PE and sport across the school to support whole-school improvement</w:t>
      </w:r>
    </w:p>
    <w:p>
      <w:pPr>
        <w:numPr>
          <w:ilvl w:val="0"/>
          <w:numId w:val="1002"/>
        </w:numPr>
        <w:pStyle w:val="Compact"/>
      </w:pPr>
      <w:r>
        <w:t xml:space="preserve">Offering a broader and more equal experience of a range of sports and physical activities</w:t>
      </w:r>
    </w:p>
    <w:p>
      <w:pPr>
        <w:numPr>
          <w:ilvl w:val="0"/>
          <w:numId w:val="1002"/>
        </w:numPr>
        <w:pStyle w:val="Compact"/>
      </w:pPr>
      <w:r>
        <w:t xml:space="preserve">Increasing participation in competitive sport</w:t>
      </w:r>
    </w:p>
    <w:p>
      <w:r>
        <w:pict>
          <v:rect style="width:0;height:1.5pt" o:hralign="center" o:hrstd="t" o:hr="t"/>
        </w:pict>
      </w:r>
    </w:p>
    <w:bookmarkEnd w:id="20"/>
    <w:bookmarkStart w:id="21" w:name="funding-allocation-for-2025-to-2026"/>
    <w:p>
      <w:pPr>
        <w:pStyle w:val="Heading2"/>
      </w:pPr>
      <w:r>
        <w:t xml:space="preserve">2. Funding allocation for 2025 to 2026</w:t>
      </w:r>
    </w:p>
    <w:tbl>
      <w:tblPr>
        <w:tblStyle w:val="Table"/>
        <w:tblW w:type="pct" w:w="5000"/>
        <w:tblLook w:firstRow="1" w:lastRow="0" w:firstColumn="0" w:lastColumn="0" w:noHBand="0" w:noVBand="0" w:val="0020"/>
        <w:jc w:val="start"/>
      </w:tblPr>
      <w:tblGrid>
        <w:gridCol w:w="3960"/>
        <w:gridCol w:w="3960"/>
      </w:tblGrid>
      <w:tr>
        <w:trPr>
          <w:tblHeader w:val="true"/>
        </w:trPr>
        <w:tc>
          <w:tcPr/>
          <w:p>
            <w:pPr>
              <w:pStyle w:val="Compact"/>
              <w:jc w:val="left"/>
            </w:pPr>
            <w:r>
              <w:t xml:space="preserve">Item</w:t>
            </w:r>
          </w:p>
        </w:tc>
        <w:tc>
          <w:tcPr/>
          <w:p>
            <w:pPr>
              <w:pStyle w:val="Compact"/>
              <w:jc w:val="left"/>
            </w:pPr>
            <w:r>
              <w:t xml:space="preserve">Amount</w:t>
            </w:r>
          </w:p>
        </w:tc>
      </w:tr>
      <w:tr>
        <w:tc>
          <w:tcPr/>
          <w:p>
            <w:pPr>
              <w:pStyle w:val="Compact"/>
              <w:jc w:val="left"/>
            </w:pPr>
            <w:r>
              <w:t xml:space="preserve">PE and sport premium allocation received for 2025 to 2026</w:t>
            </w:r>
          </w:p>
        </w:tc>
        <w:tc>
          <w:tcPr/>
          <w:p>
            <w:pPr>
              <w:pStyle w:val="Compact"/>
              <w:jc w:val="left"/>
            </w:pPr>
            <w:r>
              <w:t xml:space="preserve">£16,460.00</w:t>
            </w:r>
          </w:p>
        </w:tc>
      </w:tr>
      <w:tr>
        <w:tc>
          <w:tcPr/>
          <w:p>
            <w:pPr>
              <w:pStyle w:val="Compact"/>
              <w:jc w:val="left"/>
            </w:pPr>
            <w:r>
              <w:t xml:space="preserve">Total funding spent and committed</w:t>
            </w:r>
          </w:p>
        </w:tc>
        <w:tc>
          <w:tcPr/>
          <w:p>
            <w:pPr>
              <w:pStyle w:val="Compact"/>
              <w:jc w:val="left"/>
            </w:pPr>
            <w:r>
              <w:t xml:space="preserve">£17,895.42</w:t>
            </w:r>
          </w:p>
        </w:tc>
      </w:tr>
      <w:tr>
        <w:tc>
          <w:tcPr/>
          <w:p>
            <w:pPr>
              <w:pStyle w:val="Compact"/>
              <w:jc w:val="left"/>
            </w:pPr>
            <w:r>
              <w:rPr>
                <w:bCs/>
                <w:b/>
              </w:rPr>
              <w:t xml:space="preserve">Unspent funding carried forward</w:t>
            </w:r>
          </w:p>
        </w:tc>
        <w:tc>
          <w:tcPr/>
          <w:p>
            <w:pPr>
              <w:pStyle w:val="Compact"/>
              <w:jc w:val="left"/>
            </w:pPr>
            <w:r>
              <w:rPr>
                <w:bCs/>
                <w:b/>
              </w:rPr>
              <w:t xml:space="preserve">£0.00</w:t>
            </w:r>
          </w:p>
        </w:tc>
      </w:tr>
    </w:tbl>
    <w:p>
      <w:pPr>
        <w:pStyle w:val="BodyText"/>
      </w:pPr>
      <w:r>
        <w:t xml:space="preserve">We spent our full allocation during the academic year. Expenditure exceeded the grant by £1,435.42, and this difference has been met from the school’s core budget. No PE and sport premium funding has been carried forward into 2026 to 2027.</w:t>
      </w:r>
    </w:p>
    <w:p>
      <w:r>
        <w:pict>
          <v:rect style="width:0;height:1.5pt" o:hralign="center" o:hrstd="t" o:hr="t"/>
        </w:pict>
      </w:r>
    </w:p>
    <w:bookmarkEnd w:id="21"/>
    <w:bookmarkStart w:id="31" w:name="how-we-spent-the-funding"/>
    <w:p>
      <w:pPr>
        <w:pStyle w:val="Heading2"/>
      </w:pPr>
      <w:r>
        <w:t xml:space="preserve">3. How we spent the funding</w:t>
      </w:r>
    </w:p>
    <w:p>
      <w:pPr>
        <w:pStyle w:val="FirstParagraph"/>
      </w:pPr>
      <w:r>
        <w:t xml:space="preserve">The categories below are the headings used in the Department for Education’s expenditure reporting return, so this breakdown can be read directly against the figures we have submitted.</w:t>
      </w:r>
    </w:p>
    <w:bookmarkStart w:id="22" w:name="summary-by-category"/>
    <w:p>
      <w:pPr>
        <w:pStyle w:val="Heading3"/>
      </w:pPr>
      <w:r>
        <w:t xml:space="preserve">Summary by category</w:t>
      </w:r>
    </w:p>
    <w:tbl>
      <w:tblPr>
        <w:tblStyle w:val="Table"/>
        <w:tblW w:type="auto" w:w="0"/>
        <w:tblLook w:firstRow="1" w:lastRow="0" w:firstColumn="0" w:lastColumn="0" w:noHBand="0" w:noVBand="0" w:val="0020"/>
        <w:jc w:val="start"/>
      </w:tblPr>
      <w:tblGrid>
        <w:gridCol w:w="2640"/>
        <w:gridCol w:w="2640"/>
        <w:gridCol w:w="2640"/>
      </w:tblGrid>
      <w:tr>
        <w:trPr>
          <w:tblHeader w:val="true"/>
        </w:trPr>
        <w:tc>
          <w:tcPr/>
          <w:p>
            <w:pPr>
              <w:pStyle w:val="Compact"/>
              <w:jc w:val="left"/>
            </w:pPr>
            <w:r>
              <w:t xml:space="preserve">Category</w:t>
            </w:r>
          </w:p>
        </w:tc>
        <w:tc>
          <w:tcPr/>
          <w:p>
            <w:pPr>
              <w:pStyle w:val="Compact"/>
              <w:jc w:val="left"/>
            </w:pPr>
            <w:r>
              <w:t xml:space="preserve">Amount</w:t>
            </w:r>
          </w:p>
        </w:tc>
        <w:tc>
          <w:tcPr/>
          <w:p>
            <w:pPr>
              <w:pStyle w:val="Compact"/>
              <w:jc w:val="left"/>
            </w:pPr>
            <w:r>
              <w:t xml:space="preserve">Share</w:t>
            </w:r>
          </w:p>
        </w:tc>
      </w:tr>
      <w:tr>
        <w:tc>
          <w:tcPr/>
          <w:p>
            <w:pPr>
              <w:pStyle w:val="Compact"/>
              <w:jc w:val="left"/>
            </w:pPr>
            <w:r>
              <w:t xml:space="preserve">External coaching</w:t>
            </w:r>
          </w:p>
        </w:tc>
        <w:tc>
          <w:tcPr/>
          <w:p>
            <w:pPr>
              <w:pStyle w:val="Compact"/>
              <w:jc w:val="left"/>
            </w:pPr>
            <w:r>
              <w:t xml:space="preserve">£8,290.00</w:t>
            </w:r>
          </w:p>
        </w:tc>
        <w:tc>
          <w:tcPr/>
          <w:p>
            <w:pPr>
              <w:pStyle w:val="Compact"/>
              <w:jc w:val="left"/>
            </w:pPr>
            <w:r>
              <w:t xml:space="preserve">46.3%</w:t>
            </w:r>
          </w:p>
        </w:tc>
      </w:tr>
      <w:tr>
        <w:tc>
          <w:tcPr/>
          <w:p>
            <w:pPr>
              <w:pStyle w:val="Compact"/>
              <w:jc w:val="left"/>
            </w:pPr>
            <w:r>
              <w:t xml:space="preserve">Extra curricular opportunities</w:t>
            </w:r>
          </w:p>
        </w:tc>
        <w:tc>
          <w:tcPr/>
          <w:p>
            <w:pPr>
              <w:pStyle w:val="Compact"/>
              <w:jc w:val="left"/>
            </w:pPr>
            <w:r>
              <w:t xml:space="preserve">£4,884.01</w:t>
            </w:r>
          </w:p>
        </w:tc>
        <w:tc>
          <w:tcPr/>
          <w:p>
            <w:pPr>
              <w:pStyle w:val="Compact"/>
              <w:jc w:val="left"/>
            </w:pPr>
            <w:r>
              <w:t xml:space="preserve">27.3%</w:t>
            </w:r>
          </w:p>
        </w:tc>
      </w:tr>
      <w:tr>
        <w:tc>
          <w:tcPr/>
          <w:p>
            <w:pPr>
              <w:pStyle w:val="Compact"/>
              <w:jc w:val="left"/>
            </w:pPr>
            <w:r>
              <w:t xml:space="preserve">Equipment and resources</w:t>
            </w:r>
          </w:p>
        </w:tc>
        <w:tc>
          <w:tcPr/>
          <w:p>
            <w:pPr>
              <w:pStyle w:val="Compact"/>
              <w:jc w:val="left"/>
            </w:pPr>
            <w:r>
              <w:t xml:space="preserve">£3,732.11</w:t>
            </w:r>
          </w:p>
        </w:tc>
        <w:tc>
          <w:tcPr/>
          <w:p>
            <w:pPr>
              <w:pStyle w:val="Compact"/>
              <w:jc w:val="left"/>
            </w:pPr>
            <w:r>
              <w:t xml:space="preserve">20.9%</w:t>
            </w:r>
          </w:p>
        </w:tc>
      </w:tr>
      <w:tr>
        <w:tc>
          <w:tcPr/>
          <w:p>
            <w:pPr>
              <w:pStyle w:val="Compact"/>
              <w:jc w:val="left"/>
            </w:pPr>
            <w:r>
              <w:t xml:space="preserve">External sports competitions, including travel</w:t>
            </w:r>
          </w:p>
        </w:tc>
        <w:tc>
          <w:tcPr/>
          <w:p>
            <w:pPr>
              <w:pStyle w:val="Compact"/>
              <w:jc w:val="left"/>
            </w:pPr>
            <w:r>
              <w:t xml:space="preserve">£490.00</w:t>
            </w:r>
          </w:p>
        </w:tc>
        <w:tc>
          <w:tcPr/>
          <w:p>
            <w:pPr>
              <w:pStyle w:val="Compact"/>
              <w:jc w:val="left"/>
            </w:pPr>
            <w:r>
              <w:t xml:space="preserve">2.7%</w:t>
            </w:r>
          </w:p>
        </w:tc>
      </w:tr>
      <w:tr>
        <w:tc>
          <w:tcPr/>
          <w:p>
            <w:pPr>
              <w:pStyle w:val="Compact"/>
              <w:jc w:val="left"/>
            </w:pPr>
            <w:r>
              <w:t xml:space="preserve">Membership and subscription</w:t>
            </w:r>
          </w:p>
        </w:tc>
        <w:tc>
          <w:tcPr/>
          <w:p>
            <w:pPr>
              <w:pStyle w:val="Compact"/>
              <w:jc w:val="left"/>
            </w:pPr>
            <w:r>
              <w:t xml:space="preserve">£300.00</w:t>
            </w:r>
          </w:p>
        </w:tc>
        <w:tc>
          <w:tcPr/>
          <w:p>
            <w:pPr>
              <w:pStyle w:val="Compact"/>
              <w:jc w:val="left"/>
            </w:pPr>
            <w:r>
              <w:t xml:space="preserve">1.7%</w:t>
            </w:r>
          </w:p>
        </w:tc>
      </w:tr>
      <w:tr>
        <w:tc>
          <w:tcPr/>
          <w:p>
            <w:pPr>
              <w:pStyle w:val="Compact"/>
              <w:jc w:val="left"/>
            </w:pPr>
            <w:r>
              <w:t xml:space="preserve">Continuing professional development (CPD)</w:t>
            </w:r>
          </w:p>
        </w:tc>
        <w:tc>
          <w:tcPr/>
          <w:p>
            <w:pPr>
              <w:pStyle w:val="Compact"/>
              <w:jc w:val="left"/>
            </w:pPr>
            <w:r>
              <w:t xml:space="preserve">£199.30</w:t>
            </w:r>
          </w:p>
        </w:tc>
        <w:tc>
          <w:tcPr/>
          <w:p>
            <w:pPr>
              <w:pStyle w:val="Compact"/>
              <w:jc w:val="left"/>
            </w:pPr>
            <w:r>
              <w:t xml:space="preserve">1.1%</w:t>
            </w:r>
          </w:p>
        </w:tc>
      </w:tr>
      <w:tr>
        <w:tc>
          <w:tcPr/>
          <w:p>
            <w:pPr>
              <w:pStyle w:val="Compact"/>
              <w:jc w:val="left"/>
            </w:pPr>
            <w:r>
              <w:t xml:space="preserve">Swimming CPD</w:t>
            </w:r>
          </w:p>
        </w:tc>
        <w:tc>
          <w:tcPr/>
          <w:p>
            <w:pPr>
              <w:pStyle w:val="Compact"/>
              <w:jc w:val="left"/>
            </w:pPr>
            <w:r>
              <w:t xml:space="preserve">£0.00</w:t>
            </w:r>
          </w:p>
        </w:tc>
        <w:tc>
          <w:tcPr/>
          <w:p>
            <w:pPr>
              <w:pStyle w:val="Compact"/>
              <w:jc w:val="left"/>
            </w:pPr>
            <w:r>
              <w:t xml:space="preserve">0.0%</w:t>
            </w:r>
          </w:p>
        </w:tc>
      </w:tr>
      <w:tr>
        <w:tc>
          <w:tcPr/>
          <w:p>
            <w:pPr>
              <w:pStyle w:val="Compact"/>
              <w:jc w:val="left"/>
            </w:pPr>
            <w:r>
              <w:t xml:space="preserve">Top-up swimming</w:t>
            </w:r>
          </w:p>
        </w:tc>
        <w:tc>
          <w:tcPr/>
          <w:p>
            <w:pPr>
              <w:pStyle w:val="Compact"/>
              <w:jc w:val="left"/>
            </w:pPr>
            <w:r>
              <w:t xml:space="preserve">£0.00</w:t>
            </w:r>
          </w:p>
        </w:tc>
        <w:tc>
          <w:tcPr/>
          <w:p>
            <w:pPr>
              <w:pStyle w:val="Compact"/>
              <w:jc w:val="left"/>
            </w:pPr>
            <w:r>
              <w:t xml:space="preserve">0.0%</w:t>
            </w:r>
          </w:p>
        </w:tc>
      </w:tr>
      <w:tr>
        <w:tc>
          <w:tcPr/>
          <w:p>
            <w:pPr>
              <w:pStyle w:val="Compact"/>
              <w:jc w:val="left"/>
            </w:pPr>
            <w:r>
              <w:t xml:space="preserve">School Games Organiser activities</w:t>
            </w:r>
          </w:p>
        </w:tc>
        <w:tc>
          <w:tcPr/>
          <w:p>
            <w:pPr>
              <w:pStyle w:val="Compact"/>
              <w:jc w:val="left"/>
            </w:pPr>
            <w:r>
              <w:t xml:space="preserve">£0.00</w:t>
            </w:r>
          </w:p>
        </w:tc>
        <w:tc>
          <w:tcPr/>
          <w:p>
            <w:pPr>
              <w:pStyle w:val="Compact"/>
              <w:jc w:val="left"/>
            </w:pPr>
            <w:r>
              <w:t xml:space="preserve">0.0%</w:t>
            </w:r>
          </w:p>
        </w:tc>
      </w:tr>
      <w:tr>
        <w:tc>
          <w:tcPr/>
          <w:p>
            <w:pPr>
              <w:pStyle w:val="Compact"/>
              <w:jc w:val="left"/>
            </w:pPr>
            <w:r>
              <w:rPr>
                <w:bCs/>
                <w:b/>
              </w:rPr>
              <w:t xml:space="preserve">Total</w:t>
            </w:r>
          </w:p>
        </w:tc>
        <w:tc>
          <w:tcPr/>
          <w:p>
            <w:pPr>
              <w:pStyle w:val="Compact"/>
              <w:jc w:val="left"/>
            </w:pPr>
            <w:r>
              <w:rPr>
                <w:bCs/>
                <w:b/>
              </w:rPr>
              <w:t xml:space="preserve">£17,895.42</w:t>
            </w:r>
          </w:p>
        </w:tc>
        <w:tc>
          <w:tcPr/>
          <w:p>
            <w:pPr>
              <w:pStyle w:val="Compact"/>
              <w:jc w:val="left"/>
            </w:pPr>
            <w:r>
              <w:rPr>
                <w:bCs/>
                <w:b/>
              </w:rPr>
              <w:t xml:space="preserve">100%</w:t>
            </w:r>
          </w:p>
        </w:tc>
      </w:tr>
    </w:tbl>
    <w:bookmarkEnd w:id="22"/>
    <w:bookmarkStart w:id="30" w:name="detailed-breakdown"/>
    <w:p>
      <w:pPr>
        <w:pStyle w:val="Heading3"/>
      </w:pPr>
      <w:r>
        <w:t xml:space="preserve">Detailed breakdown</w:t>
      </w:r>
    </w:p>
    <w:bookmarkStart w:id="23" w:name="external-coaching-8290.00"/>
    <w:p>
      <w:pPr>
        <w:pStyle w:val="Heading4"/>
      </w:pPr>
      <w:r>
        <w:t xml:space="preserve">External coaching — £8,290.00</w:t>
      </w:r>
    </w:p>
    <w:p>
      <w:pPr>
        <w:pStyle w:val="FirstParagraph"/>
      </w:pPr>
      <w:r>
        <w:t xml:space="preserve">This was our largest area of spend, and it was deliberately structured so that the benefit does not leave the school when the coach does.</w:t>
      </w:r>
    </w:p>
    <w:p>
      <w:pPr>
        <w:pStyle w:val="BodyText"/>
      </w:pPr>
      <w:r>
        <w:t xml:space="preserve">Every coaching contract this year was delivered as</w:t>
      </w:r>
      <w:r>
        <w:t xml:space="preserve"> </w:t>
      </w:r>
      <w:r>
        <w:rPr>
          <w:bCs/>
          <w:b/>
        </w:rPr>
        <w:t xml:space="preserve">team teaching</w:t>
      </w:r>
      <w:r>
        <w:t xml:space="preserve">. Our teachers and support staff planned alongside the specialist, co-delivered the sessions, and took on more of the delivery as their confidence grew. No member of staff stepped away from a lesson while a coach took over. This is a conscious model, and it is how we make sure the funding buys lasting capability rather than a term of activity.</w:t>
      </w:r>
    </w:p>
    <w:p>
      <w:pPr>
        <w:pStyle w:val="BodyText"/>
      </w:pPr>
      <w:r>
        <w:t xml:space="preserve">As a result, staff have developed and are now independently implementing subject knowledge, technical vocabulary, progression of skills, and safe practice across the sports below. That expertise is embedded in our curriculum, and it is what allows us to move to an internally led model in 2026 to 2027, as set out in section 7.</w:t>
      </w:r>
    </w:p>
    <w:p>
      <w:pPr>
        <w:pStyle w:val="BodyText"/>
      </w:pPr>
      <w:r>
        <w:t xml:space="preserve">Providers this year were:</w:t>
      </w:r>
    </w:p>
    <w:p>
      <w:pPr>
        <w:numPr>
          <w:ilvl w:val="0"/>
          <w:numId w:val="1003"/>
        </w:numPr>
        <w:pStyle w:val="Compact"/>
      </w:pPr>
      <w:r>
        <w:rPr>
          <w:bCs/>
          <w:b/>
        </w:rPr>
        <w:t xml:space="preserve">Plymouth Argyle Football Trust</w:t>
      </w:r>
      <w:r>
        <w:t xml:space="preserve"> </w:t>
      </w:r>
      <w:r>
        <w:t xml:space="preserve">— £3,850.00 for PE sessions across the spring and summer terms</w:t>
      </w:r>
    </w:p>
    <w:p>
      <w:pPr>
        <w:numPr>
          <w:ilvl w:val="0"/>
          <w:numId w:val="1003"/>
        </w:numPr>
        <w:pStyle w:val="Compact"/>
      </w:pPr>
      <w:r>
        <w:rPr>
          <w:bCs/>
          <w:b/>
        </w:rPr>
        <w:t xml:space="preserve">Magical Tots</w:t>
      </w:r>
      <w:r>
        <w:t xml:space="preserve"> </w:t>
      </w:r>
      <w:r>
        <w:t xml:space="preserve">— £1,755.00 for PE and movement sessions in the autumn term</w:t>
      </w:r>
    </w:p>
    <w:p>
      <w:pPr>
        <w:numPr>
          <w:ilvl w:val="0"/>
          <w:numId w:val="1003"/>
        </w:numPr>
        <w:pStyle w:val="Compact"/>
      </w:pPr>
      <w:r>
        <w:rPr>
          <w:bCs/>
          <w:b/>
        </w:rPr>
        <w:t xml:space="preserve">Cornish Pirates</w:t>
      </w:r>
      <w:r>
        <w:t xml:space="preserve"> </w:t>
      </w:r>
      <w:r>
        <w:t xml:space="preserve">— £960.00 for rugby provision in Autumn 1 and Autumn 2</w:t>
      </w:r>
    </w:p>
    <w:p>
      <w:pPr>
        <w:numPr>
          <w:ilvl w:val="0"/>
          <w:numId w:val="1003"/>
        </w:numPr>
        <w:pStyle w:val="Compact"/>
      </w:pPr>
      <w:r>
        <w:rPr>
          <w:bCs/>
          <w:b/>
        </w:rPr>
        <w:t xml:space="preserve">Okehampton Flyers Gymnastics Club</w:t>
      </w:r>
      <w:r>
        <w:t xml:space="preserve"> </w:t>
      </w:r>
      <w:r>
        <w:t xml:space="preserve">— £855.00 for gymnastics across the spring term</w:t>
      </w:r>
    </w:p>
    <w:p>
      <w:pPr>
        <w:numPr>
          <w:ilvl w:val="0"/>
          <w:numId w:val="1003"/>
        </w:numPr>
        <w:pStyle w:val="Compact"/>
      </w:pPr>
      <w:r>
        <w:rPr>
          <w:bCs/>
          <w:b/>
        </w:rPr>
        <w:t xml:space="preserve">Nicky Brice Ballet</w:t>
      </w:r>
      <w:r>
        <w:t xml:space="preserve"> </w:t>
      </w:r>
      <w:r>
        <w:t xml:space="preserve">— £520.00 for a dance after-school club across Autumn 1 and Autumn 2</w:t>
      </w:r>
    </w:p>
    <w:p>
      <w:pPr>
        <w:numPr>
          <w:ilvl w:val="0"/>
          <w:numId w:val="1003"/>
        </w:numPr>
        <w:pStyle w:val="Compact"/>
      </w:pPr>
      <w:r>
        <w:rPr>
          <w:bCs/>
          <w:b/>
        </w:rPr>
        <w:t xml:space="preserve">Freewave Surf Academy</w:t>
      </w:r>
      <w:r>
        <w:t xml:space="preserve"> </w:t>
      </w:r>
      <w:r>
        <w:t xml:space="preserve">— £350.00 for surfing for Year 4 and Year 5</w:t>
      </w:r>
    </w:p>
    <w:p>
      <w:pPr>
        <w:pStyle w:val="FirstParagraph"/>
      </w:pPr>
      <w:r>
        <w:t xml:space="preserve">The impact on pupils has been twofold. They benefit from specialist input at the time, and then from better-informed teaching from their own staff afterwards. Just as importantly, exposure to specialists has encouraged pupils to keep going: into our lunchtime and after-school clubs, and in a growing number of cases into local community clubs outside school.</w:t>
      </w:r>
    </w:p>
    <w:bookmarkEnd w:id="23"/>
    <w:bookmarkStart w:id="24" w:name="extra-curricular-opportunities-4884.01"/>
    <w:p>
      <w:pPr>
        <w:pStyle w:val="Heading4"/>
      </w:pPr>
      <w:r>
        <w:t xml:space="preserve">Extra curricular opportunities — £4,884.01</w:t>
      </w:r>
    </w:p>
    <w:p>
      <w:pPr>
        <w:numPr>
          <w:ilvl w:val="0"/>
          <w:numId w:val="1004"/>
        </w:numPr>
        <w:pStyle w:val="Compact"/>
      </w:pPr>
      <w:r>
        <w:rPr>
          <w:bCs/>
          <w:b/>
        </w:rPr>
        <w:t xml:space="preserve">£3,687.05</w:t>
      </w:r>
      <w:r>
        <w:t xml:space="preserve"> </w:t>
      </w:r>
      <w:r>
        <w:t xml:space="preserve">— additional active play supervision above our minimum staffing requirement, calculated as 185 pupil days at 1 hour per day. This additional capacity is what makes our daily active play and club programme possible.</w:t>
      </w:r>
    </w:p>
    <w:p>
      <w:pPr>
        <w:numPr>
          <w:ilvl w:val="0"/>
          <w:numId w:val="1004"/>
        </w:numPr>
        <w:pStyle w:val="Compact"/>
      </w:pPr>
      <w:r>
        <w:rPr>
          <w:bCs/>
          <w:b/>
        </w:rPr>
        <w:t xml:space="preserve">£488.35</w:t>
      </w:r>
      <w:r>
        <w:t xml:space="preserve"> </w:t>
      </w:r>
      <w:r>
        <w:t xml:space="preserve">— the sport-related share of our minibus running costs, allowing us to take small groups to fixtures and activities that would otherwise be out of reach</w:t>
      </w:r>
    </w:p>
    <w:p>
      <w:pPr>
        <w:numPr>
          <w:ilvl w:val="0"/>
          <w:numId w:val="1004"/>
        </w:numPr>
        <w:pStyle w:val="Compact"/>
      </w:pPr>
      <w:r>
        <w:rPr>
          <w:bCs/>
          <w:b/>
        </w:rPr>
        <w:t xml:space="preserve">£450.00</w:t>
      </w:r>
      <w:r>
        <w:t xml:space="preserve"> </w:t>
      </w:r>
      <w:r>
        <w:t xml:space="preserve">— coach hire for our beach day</w:t>
      </w:r>
    </w:p>
    <w:p>
      <w:pPr>
        <w:numPr>
          <w:ilvl w:val="0"/>
          <w:numId w:val="1004"/>
        </w:numPr>
        <w:pStyle w:val="Compact"/>
      </w:pPr>
      <w:r>
        <w:rPr>
          <w:bCs/>
          <w:b/>
        </w:rPr>
        <w:t xml:space="preserve">£133.61</w:t>
      </w:r>
      <w:r>
        <w:t xml:space="preserve"> </w:t>
      </w:r>
      <w:r>
        <w:t xml:space="preserve">— additional staffing hours to run sporting events during the year</w:t>
      </w:r>
    </w:p>
    <w:p>
      <w:pPr>
        <w:numPr>
          <w:ilvl w:val="0"/>
          <w:numId w:val="1004"/>
        </w:numPr>
        <w:pStyle w:val="Compact"/>
      </w:pPr>
      <w:r>
        <w:rPr>
          <w:bCs/>
          <w:b/>
        </w:rPr>
        <w:t xml:space="preserve">£125.00</w:t>
      </w:r>
      <w:r>
        <w:t xml:space="preserve"> </w:t>
      </w:r>
      <w:r>
        <w:t xml:space="preserve">— the annual safety inspection of our play equipment, which keeps the resources used for daily active play safe and available</w:t>
      </w:r>
    </w:p>
    <w:bookmarkEnd w:id="24"/>
    <w:bookmarkStart w:id="25" w:name="equipment-and-resources-3732.11"/>
    <w:p>
      <w:pPr>
        <w:pStyle w:val="Heading4"/>
      </w:pPr>
      <w:r>
        <w:t xml:space="preserve">Equipment and resources — £3,732.11</w:t>
      </w:r>
    </w:p>
    <w:p>
      <w:pPr>
        <w:pStyle w:val="FirstParagraph"/>
      </w:pPr>
      <w:r>
        <w:t xml:space="preserve">Equipment purchased this year has broadened what we can offer and replaced worn stock, including table tennis, cricket, tennis, netball, rounders and football equipment, markers, bibs, hula hoops and outdoor bats, together with a portable sound system used for dance and whole-school activity sessions.</w:t>
      </w:r>
    </w:p>
    <w:bookmarkEnd w:id="25"/>
    <w:bookmarkStart w:id="26" w:name="X6e73afdeb4a9a621c11611686d96be16f351a48"/>
    <w:p>
      <w:pPr>
        <w:pStyle w:val="Heading4"/>
      </w:pPr>
      <w:r>
        <w:t xml:space="preserve">External sports competitions, including travel — £490.00</w:t>
      </w:r>
    </w:p>
    <w:p>
      <w:pPr>
        <w:numPr>
          <w:ilvl w:val="0"/>
          <w:numId w:val="1005"/>
        </w:numPr>
        <w:pStyle w:val="Compact"/>
      </w:pPr>
      <w:r>
        <w:rPr>
          <w:bCs/>
          <w:b/>
        </w:rPr>
        <w:t xml:space="preserve">£370.00</w:t>
      </w:r>
      <w:r>
        <w:t xml:space="preserve"> </w:t>
      </w:r>
      <w:r>
        <w:t xml:space="preserve">— transport to the Greenpower Goblin event</w:t>
      </w:r>
    </w:p>
    <w:p>
      <w:pPr>
        <w:numPr>
          <w:ilvl w:val="0"/>
          <w:numId w:val="1005"/>
        </w:numPr>
        <w:pStyle w:val="Compact"/>
      </w:pPr>
      <w:r>
        <w:rPr>
          <w:bCs/>
          <w:b/>
        </w:rPr>
        <w:t xml:space="preserve">£120.00</w:t>
      </w:r>
      <w:r>
        <w:t xml:space="preserve"> </w:t>
      </w:r>
      <w:r>
        <w:t xml:space="preserve">— team entry to the Greenpower Education Trust Goblin event</w:t>
      </w:r>
    </w:p>
    <w:bookmarkEnd w:id="26"/>
    <w:bookmarkStart w:id="27" w:name="membership-and-subscription-300.00"/>
    <w:p>
      <w:pPr>
        <w:pStyle w:val="Heading4"/>
      </w:pPr>
      <w:r>
        <w:t xml:space="preserve">Membership and subscription — £300.00</w:t>
      </w:r>
    </w:p>
    <w:p>
      <w:pPr>
        <w:pStyle w:val="FirstParagraph"/>
      </w:pPr>
      <w:r>
        <w:t xml:space="preserve">Westcountry Schools Trust Arena membership for 2025 to 2026. As well as giving us access to fixtures, competitions and shared expertise across the trust, the network provides our staff with</w:t>
      </w:r>
      <w:r>
        <w:t xml:space="preserve"> </w:t>
      </w:r>
      <w:r>
        <w:rPr>
          <w:bCs/>
          <w:b/>
        </w:rPr>
        <w:t xml:space="preserve">support and guidance on developing and delivering activities safely</w:t>
      </w:r>
      <w:r>
        <w:t xml:space="preserve"> </w:t>
      </w:r>
      <w:r>
        <w:t xml:space="preserve">— including risk assessment, safe practice in specific sports, and advice on adapting activities for pupils with additional needs. For a small school this external professional guidance is a significant part of the value.</w:t>
      </w:r>
    </w:p>
    <w:bookmarkEnd w:id="27"/>
    <w:bookmarkStart w:id="28" w:name="X6fa1b6cbcba7290b3eb7741ce74a0b019f5743a"/>
    <w:p>
      <w:pPr>
        <w:pStyle w:val="Heading4"/>
      </w:pPr>
      <w:r>
        <w:t xml:space="preserve">Continuing professional development — £199.30</w:t>
      </w:r>
    </w:p>
    <w:p>
      <w:pPr>
        <w:pStyle w:val="FirstParagraph"/>
      </w:pPr>
      <w:r>
        <w:t xml:space="preserve">Support staff time on non-pupil days spent on PE and active play development. Our substantive CPD programme is led internally and funded from the core budget, and is described in section 5, which is why this figure is small relative to the scale of CPD actually undertaken.</w:t>
      </w:r>
    </w:p>
    <w:bookmarkEnd w:id="28"/>
    <w:bookmarkStart w:id="29" w:name="X616aaa1a8267ece85657199007d3cd5e500e3f7"/>
    <w:p>
      <w:pPr>
        <w:pStyle w:val="Heading4"/>
      </w:pPr>
      <w:r>
        <w:t xml:space="preserve">Swimming CPD, top-up swimming and School Games Organiser activities — £0.00</w:t>
      </w:r>
    </w:p>
    <w:p>
      <w:pPr>
        <w:pStyle w:val="FirstParagraph"/>
      </w:pPr>
      <w:r>
        <w:t xml:space="preserve">No premium funding was spent under these headings this year. Swimming is funded outside the PE and sport premium, as set out in section 6.</w:t>
      </w:r>
    </w:p>
    <w:p>
      <w:r>
        <w:pict>
          <v:rect style="width:0;height:1.5pt" o:hralign="center" o:hrstd="t" o:hr="t"/>
        </w:pict>
      </w:r>
    </w:p>
    <w:bookmarkEnd w:id="29"/>
    <w:bookmarkEnd w:id="30"/>
    <w:bookmarkEnd w:id="31"/>
    <w:bookmarkStart w:id="38" w:name="impact-on-pupils"/>
    <w:p>
      <w:pPr>
        <w:pStyle w:val="Heading2"/>
      </w:pPr>
      <w:r>
        <w:t xml:space="preserve">4. Impact on pupils</w:t>
      </w:r>
    </w:p>
    <w:bookmarkStart w:id="32" w:name="Xb3693bbe3feb998ae57694d8e296c8da86d156f"/>
    <w:p>
      <w:pPr>
        <w:pStyle w:val="Heading3"/>
      </w:pPr>
      <w:r>
        <w:t xml:space="preserve">Participation in regular physical activity</w:t>
      </w:r>
    </w:p>
    <w:p>
      <w:pPr>
        <w:pStyle w:val="FirstParagraph"/>
      </w:pPr>
      <w:r>
        <w:t xml:space="preserve">Every child at Altarnun now has</w:t>
      </w:r>
      <w:r>
        <w:t xml:space="preserve"> </w:t>
      </w:r>
      <w:r>
        <w:rPr>
          <w:bCs/>
          <w:b/>
        </w:rPr>
        <w:t xml:space="preserve">an hour of active play every day</w:t>
      </w:r>
      <w:r>
        <w:t xml:space="preserve">, supervised and led by trained support staff, alongside</w:t>
      </w:r>
      <w:r>
        <w:t xml:space="preserve"> </w:t>
      </w:r>
      <w:r>
        <w:rPr>
          <w:bCs/>
          <w:b/>
        </w:rPr>
        <w:t xml:space="preserve">two hours of timetabled PE each week</w:t>
      </w:r>
      <w:r>
        <w:t xml:space="preserve">.</w:t>
      </w:r>
    </w:p>
    <w:p>
      <w:pPr>
        <w:pStyle w:val="BodyText"/>
      </w:pPr>
      <w:r>
        <w:t xml:space="preserve">Taken together, this means all our pupils exceed the national expectation of at least two hours of high-quality PE and sport a week, and are supported towards the Chief Medical Officers’ recommendation of 60 minutes of moderate to vigorous physical activity a day.</w:t>
      </w:r>
    </w:p>
    <w:p>
      <w:pPr>
        <w:pStyle w:val="BodyText"/>
      </w:pPr>
      <w:r>
        <w:t xml:space="preserve">Our club programme this year has included</w:t>
      </w:r>
      <w:r>
        <w:t xml:space="preserve"> </w:t>
      </w:r>
      <w:r>
        <w:rPr>
          <w:bCs/>
          <w:b/>
        </w:rPr>
        <w:t xml:space="preserve">dance, gymnastics, rugby, gardening, cross country, football and multi-sports</w:t>
      </w:r>
      <w:r>
        <w:t xml:space="preserve">.</w:t>
      </w:r>
    </w:p>
    <w:p>
      <w:pPr>
        <w:pStyle w:val="BodyText"/>
      </w:pPr>
      <w:r>
        <w:rPr>
          <w:bCs/>
          <w:b/>
        </w:rPr>
        <w:t xml:space="preserve">Every pupil in the school has attended at least one club activity this year.</w:t>
      </w:r>
      <w:r>
        <w:t xml:space="preserve"> </w:t>
      </w:r>
      <w:r>
        <w:t xml:space="preserve">Cross country in Key Stage 2 and gardening across the whole school have been particularly popular.</w:t>
      </w:r>
    </w:p>
    <w:bookmarkEnd w:id="32"/>
    <w:bookmarkStart w:id="33" w:name="breadth-of-experience"/>
    <w:p>
      <w:pPr>
        <w:pStyle w:val="Heading3"/>
      </w:pPr>
      <w:r>
        <w:t xml:space="preserve">Breadth of experience</w:t>
      </w:r>
    </w:p>
    <w:p>
      <w:pPr>
        <w:pStyle w:val="FirstParagraph"/>
      </w:pPr>
      <w:r>
        <w:t xml:space="preserve">Pupils have taken part in football, rugby, gymnastics, dance and ballet, netball, rounders, cricket, tennis, table tennis, badminton, cross country, surfing, gardening and outdoor education this year, alongside the Greenpower Goblin engineering and racing challenge.</w:t>
      </w:r>
    </w:p>
    <w:p>
      <w:pPr>
        <w:pStyle w:val="BodyText"/>
      </w:pPr>
      <w:r>
        <w:t xml:space="preserve">Several patterns have shaped our planning:</w:t>
      </w:r>
    </w:p>
    <w:p>
      <w:pPr>
        <w:numPr>
          <w:ilvl w:val="0"/>
          <w:numId w:val="1006"/>
        </w:numPr>
        <w:pStyle w:val="Compact"/>
      </w:pPr>
      <w:r>
        <w:rPr>
          <w:bCs/>
          <w:b/>
        </w:rPr>
        <w:t xml:space="preserve">Rugby has been a real success this term.</w:t>
      </w:r>
      <w:r>
        <w:t xml:space="preserve"> </w:t>
      </w:r>
      <w:r>
        <w:t xml:space="preserve">Pupils have thoroughly enjoyed it and have attended a range of events connected to it.</w:t>
      </w:r>
    </w:p>
    <w:p>
      <w:pPr>
        <w:numPr>
          <w:ilvl w:val="0"/>
          <w:numId w:val="1006"/>
        </w:numPr>
        <w:pStyle w:val="Compact"/>
      </w:pPr>
      <w:r>
        <w:rPr>
          <w:bCs/>
          <w:b/>
        </w:rPr>
        <w:t xml:space="preserve">Cross country continues to grow</w:t>
      </w:r>
      <w:r>
        <w:t xml:space="preserve">, with nearly 75% of Key Stage 2 pupils taking part in the series of events.</w:t>
      </w:r>
    </w:p>
    <w:p>
      <w:pPr>
        <w:numPr>
          <w:ilvl w:val="0"/>
          <w:numId w:val="1006"/>
        </w:numPr>
        <w:pStyle w:val="Compact"/>
      </w:pPr>
      <w:r>
        <w:rPr>
          <w:bCs/>
          <w:b/>
        </w:rPr>
        <w:t xml:space="preserve">Surfing was new this year.</w:t>
      </w:r>
      <w:r>
        <w:t xml:space="preserve"> </w:t>
      </w:r>
      <w:r>
        <w:t xml:space="preserve">Introducing surf lessons has supported pupils to try an activity they had not met before, and one they can continue in their own leisure time — which matters in a coastal county.</w:t>
      </w:r>
    </w:p>
    <w:p>
      <w:pPr>
        <w:numPr>
          <w:ilvl w:val="0"/>
          <w:numId w:val="1006"/>
        </w:numPr>
        <w:pStyle w:val="Compact"/>
      </w:pPr>
      <w:r>
        <w:rPr>
          <w:bCs/>
          <w:b/>
        </w:rPr>
        <w:t xml:space="preserve">Dance is drawing pupils in, particularly girls.</w:t>
      </w:r>
      <w:r>
        <w:t xml:space="preserve"> </w:t>
      </w:r>
      <w:r>
        <w:t xml:space="preserve">Having noticed how much they enjoy it, we have incorporated dance into our daily active play routine to extend the opportunity beyond the timetabled session.</w:t>
      </w:r>
    </w:p>
    <w:p>
      <w:pPr>
        <w:pStyle w:val="FirstParagraph"/>
      </w:pPr>
      <w:r>
        <w:t xml:space="preserve">In 2026 to 2027 we intend to introduce</w:t>
      </w:r>
      <w:r>
        <w:t xml:space="preserve"> </w:t>
      </w:r>
      <w:r>
        <w:rPr>
          <w:bCs/>
          <w:b/>
        </w:rPr>
        <w:t xml:space="preserve">orienteering</w:t>
      </w:r>
      <w:r>
        <w:t xml:space="preserve"> </w:t>
      </w:r>
      <w:r>
        <w:t xml:space="preserve">and</w:t>
      </w:r>
      <w:r>
        <w:t xml:space="preserve"> </w:t>
      </w:r>
      <w:r>
        <w:rPr>
          <w:bCs/>
          <w:b/>
        </w:rPr>
        <w:t xml:space="preserve">pickleball</w:t>
      </w:r>
      <w:r>
        <w:t xml:space="preserve">, alongside a widened dance offer, and to continue exploring how we encourage more girls to take part in a broader range of activities.</w:t>
      </w:r>
    </w:p>
    <w:bookmarkEnd w:id="33"/>
    <w:bookmarkStart w:id="34" w:name="equal-access-and-targeted-support"/>
    <w:p>
      <w:pPr>
        <w:pStyle w:val="Heading3"/>
      </w:pPr>
      <w:r>
        <w:t xml:space="preserve">Equal access and targeted support</w:t>
      </w:r>
    </w:p>
    <w:p>
      <w:pPr>
        <w:pStyle w:val="FirstParagraph"/>
      </w:pPr>
      <w:r>
        <w:t xml:space="preserve">We have supported all pupils to take part in events, with a particular focus on our vulnerable pupils. This has included making sure transport is available and communicating directly with parents when events come up, rather than relying on general letters, so that opportunities are not missed.</w:t>
      </w:r>
    </w:p>
    <w:p>
      <w:pPr>
        <w:pStyle w:val="BodyText"/>
      </w:pPr>
      <w:r>
        <w:t xml:space="preserve">Developing sporting opportunities further for some pupils, and in particular involving girls in a wider range of activities, is an area we are actively working on.</w:t>
      </w:r>
    </w:p>
    <w:bookmarkEnd w:id="34"/>
    <w:bookmarkStart w:id="35" w:name="competitive-sport"/>
    <w:p>
      <w:pPr>
        <w:pStyle w:val="Heading3"/>
      </w:pPr>
      <w:r>
        <w:t xml:space="preserve">Competitive sport</w:t>
      </w:r>
    </w:p>
    <w:p>
      <w:pPr>
        <w:pStyle w:val="FirstParagraph"/>
      </w:pPr>
      <w:r>
        <w:t xml:space="preserve">Pupils have participated in</w:t>
      </w:r>
      <w:r>
        <w:t xml:space="preserve"> </w:t>
      </w:r>
      <w:r>
        <w:rPr>
          <w:bCs/>
          <w:b/>
        </w:rPr>
        <w:t xml:space="preserve">6 events</w:t>
      </w:r>
      <w:r>
        <w:t xml:space="preserve"> </w:t>
      </w:r>
      <w:r>
        <w:t xml:space="preserve">this year, and</w:t>
      </w:r>
      <w:r>
        <w:t xml:space="preserve"> </w:t>
      </w:r>
      <w:r>
        <w:rPr>
          <w:bCs/>
          <w:b/>
        </w:rPr>
        <w:t xml:space="preserve">every pupil in Key Stage 2 has represented the school</w:t>
      </w:r>
      <w:r>
        <w:t xml:space="preserve">.</w:t>
      </w:r>
    </w:p>
    <w:p>
      <w:pPr>
        <w:pStyle w:val="BodyText"/>
      </w:pPr>
      <w:r>
        <w:rPr>
          <w:bCs/>
          <w:b/>
        </w:rPr>
        <w:t xml:space="preserve">All pupils took part in sports day</w:t>
      </w:r>
      <w:r>
        <w:t xml:space="preserve">, which was revamped this year to include new events and to encourage greater support from families and friends.</w:t>
      </w:r>
    </w:p>
    <w:p>
      <w:pPr>
        <w:pStyle w:val="BodyText"/>
      </w:pPr>
      <w:r>
        <w:t xml:space="preserve">Extending opportunities for Key Stage 1 learners to represent the school is a development point for next year.</w:t>
      </w:r>
    </w:p>
    <w:bookmarkEnd w:id="35"/>
    <w:bookmarkStart w:id="36" w:name="attainment-in-pe"/>
    <w:p>
      <w:pPr>
        <w:pStyle w:val="Heading3"/>
      </w:pPr>
      <w:r>
        <w:t xml:space="preserve">Attainment in PE</w:t>
      </w:r>
    </w:p>
    <w:p>
      <w:pPr>
        <w:pStyle w:val="FirstParagraph"/>
      </w:pPr>
      <w:r>
        <w:rPr>
          <w:bCs/>
          <w:b/>
        </w:rPr>
        <w:t xml:space="preserve">All pupils across Key Stage 1 and Key Stage 2 met the expected standard in physical education</w:t>
      </w:r>
      <w:r>
        <w:t xml:space="preserve"> </w:t>
      </w:r>
      <w:r>
        <w:t xml:space="preserve">this year. We continue to develop our expectations and standards going forward.</w:t>
      </w:r>
    </w:p>
    <w:bookmarkEnd w:id="36"/>
    <w:bookmarkStart w:id="37" w:name="wider-impact"/>
    <w:p>
      <w:pPr>
        <w:pStyle w:val="Heading3"/>
      </w:pPr>
      <w:r>
        <w:t xml:space="preserve">Wider impact</w:t>
      </w:r>
    </w:p>
    <w:p>
      <w:pPr>
        <w:pStyle w:val="FirstParagraph"/>
      </w:pPr>
      <w:r>
        <w:t xml:space="preserve">Making sure pupils have a range of opportunities to be physically active makes a difference across other aspects of school life. We encourage pupils to be outside in everything but the worst weather, keeping outdoor coats and boots available so that this is always possible.</w:t>
      </w:r>
    </w:p>
    <w:p>
      <w:pPr>
        <w:pStyle w:val="BodyText"/>
      </w:pPr>
      <w:r>
        <w:t xml:space="preserve">Some pupils travelling to breakfast club asked for the chance to run and play outside before the school day begins. We have made that possible, and it has led to a noticeably smoother start to the day.</w:t>
      </w:r>
    </w:p>
    <w:p>
      <w:pPr>
        <w:pStyle w:val="BodyText"/>
      </w:pPr>
      <w:r>
        <w:t xml:space="preserve">Pupils tell us they love the chance to run freely around the site, that it is great to be outside, and that they enjoy being active.</w:t>
      </w:r>
    </w:p>
    <w:p>
      <w:r>
        <w:pict>
          <v:rect style="width:0;height:1.5pt" o:hralign="center" o:hrstd="t" o:hr="t"/>
        </w:pict>
      </w:r>
    </w:p>
    <w:bookmarkEnd w:id="37"/>
    <w:bookmarkEnd w:id="38"/>
    <w:bookmarkStart w:id="39" w:name="staff-development-and-building-capacity"/>
    <w:p>
      <w:pPr>
        <w:pStyle w:val="Heading2"/>
      </w:pPr>
      <w:r>
        <w:t xml:space="preserve">5. Staff development and building capacity</w:t>
      </w:r>
    </w:p>
    <w:p>
      <w:pPr>
        <w:pStyle w:val="FirstParagraph"/>
      </w:pPr>
      <w:r>
        <w:t xml:space="preserve">Building the expertise of our own staff is the most effective way of making sure improvements last beyond the funding.</w:t>
      </w:r>
    </w:p>
    <w:p>
      <w:pPr>
        <w:pStyle w:val="BodyText"/>
      </w:pPr>
      <w:r>
        <w:rPr>
          <w:bCs/>
          <w:b/>
        </w:rPr>
        <w:t xml:space="preserve">Our CPD is developing through internal capacity.</w:t>
      </w:r>
      <w:r>
        <w:t xml:space="preserve"> </w:t>
      </w:r>
      <w:r>
        <w:t xml:space="preserve">We have a seconded colleague who is a PE specialist and who has been delivering CPD and developing the curriculum with our staff. This will continue into 2026 to 2027 as we deliberately move away from working alongside external coaches.</w:t>
      </w:r>
    </w:p>
    <w:p>
      <w:pPr>
        <w:pStyle w:val="BodyText"/>
      </w:pPr>
      <w:r>
        <w:t xml:space="preserve">This model matters to us because internally led CPD ensures our staff are trained and knowledgeable about what works for</w:t>
      </w:r>
      <w:r>
        <w:t xml:space="preserve"> </w:t>
      </w:r>
      <w:r>
        <w:rPr>
          <w:iCs/>
          <w:i/>
        </w:rPr>
        <w:t xml:space="preserve">our</w:t>
      </w:r>
      <w:r>
        <w:t xml:space="preserve"> </w:t>
      </w:r>
      <w:r>
        <w:t xml:space="preserve">pupils, and it identifies precise gaps in skills and subject knowledge. We regard that as more valuable than attendance at generic external CPD sessions.</w:t>
      </w:r>
    </w:p>
    <w:p>
      <w:pPr>
        <w:pStyle w:val="BodyText"/>
      </w:pPr>
      <w:r>
        <w:t xml:space="preserve">Alongside this:</w:t>
      </w:r>
    </w:p>
    <w:p>
      <w:pPr>
        <w:numPr>
          <w:ilvl w:val="0"/>
          <w:numId w:val="1007"/>
        </w:numPr>
        <w:pStyle w:val="Compact"/>
      </w:pPr>
      <w:r>
        <w:rPr>
          <w:bCs/>
          <w:b/>
        </w:rPr>
        <w:t xml:space="preserve">Coaching alongside staff.</w:t>
      </w:r>
      <w:r>
        <w:t xml:space="preserve"> </w:t>
      </w:r>
      <w:r>
        <w:t xml:space="preserve">As set out in section 3, every external coaching contract was delivered as team teaching. Staff have developed and are now implementing subject knowledge and skills in football, rugby, gymnastics, dance, surfing and multi-sports that they retain and will use in future years.</w:t>
      </w:r>
    </w:p>
    <w:p>
      <w:pPr>
        <w:numPr>
          <w:ilvl w:val="0"/>
          <w:numId w:val="1007"/>
        </w:numPr>
        <w:pStyle w:val="Compact"/>
      </w:pPr>
      <w:r>
        <w:rPr>
          <w:bCs/>
          <w:b/>
        </w:rPr>
        <w:t xml:space="preserve">Safe practice guidance.</w:t>
      </w:r>
      <w:r>
        <w:t xml:space="preserve"> </w:t>
      </w:r>
      <w:r>
        <w:t xml:space="preserve">Our Arena network membership has given staff ongoing access to guidance on planning and delivering activities safely.</w:t>
      </w:r>
    </w:p>
    <w:p>
      <w:pPr>
        <w:numPr>
          <w:ilvl w:val="0"/>
          <w:numId w:val="1007"/>
        </w:numPr>
        <w:pStyle w:val="Compact"/>
      </w:pPr>
      <w:r>
        <w:rPr>
          <w:bCs/>
          <w:b/>
        </w:rPr>
        <w:t xml:space="preserve">Support staff development time.</w:t>
      </w:r>
      <w:r>
        <w:t xml:space="preserve"> </w:t>
      </w:r>
      <w:r>
        <w:t xml:space="preserve">Support staff have spent time on non-pupil days developing their practice in PE and active play.</w:t>
      </w:r>
    </w:p>
    <w:p>
      <w:r>
        <w:pict>
          <v:rect style="width:0;height:1.5pt" o:hralign="center" o:hrstd="t" o:hr="t"/>
        </w:pict>
      </w:r>
    </w:p>
    <w:bookmarkEnd w:id="39"/>
    <w:bookmarkStart w:id="40" w:name="swimming-and-water-safety"/>
    <w:p>
      <w:pPr>
        <w:pStyle w:val="Heading2"/>
      </w:pPr>
      <w:r>
        <w:t xml:space="preserve">6. Swimming and water safety</w:t>
      </w:r>
    </w:p>
    <w:p>
      <w:pPr>
        <w:pStyle w:val="FirstParagraph"/>
      </w:pPr>
      <w:r>
        <w:t xml:space="preserve">The national curriculum requires pupils to be able to swim competently, confidently and proficiently over a distance of at least 25 metres, to use a range of strokes effectively, and to perform safe self-rescue in different water-based situations.</w:t>
      </w:r>
    </w:p>
    <w:tbl>
      <w:tblPr>
        <w:tblStyle w:val="Table"/>
        <w:tblW w:type="pct" w:w="5000"/>
        <w:tblLook w:firstRow="1" w:lastRow="0" w:firstColumn="0" w:lastColumn="0" w:noHBand="0" w:noVBand="0" w:val="0020"/>
        <w:jc w:val="start"/>
      </w:tblPr>
      <w:tblGrid>
        <w:gridCol w:w="3960"/>
        <w:gridCol w:w="3960"/>
      </w:tblGrid>
      <w:tr>
        <w:trPr>
          <w:tblHeader w:val="true"/>
        </w:trPr>
        <w:tc>
          <w:tcPr/>
          <w:p>
            <w:pPr>
              <w:pStyle w:val="Compact"/>
              <w:jc w:val="left"/>
            </w:pPr>
            <w:r>
              <w:t xml:space="preserve">Requirement</w:t>
            </w:r>
          </w:p>
        </w:tc>
        <w:tc>
          <w:tcPr/>
          <w:p>
            <w:pPr>
              <w:pStyle w:val="Compact"/>
              <w:jc w:val="left"/>
            </w:pPr>
            <w:r>
              <w:t xml:space="preserve">Percentage of our Year 6 cohort who met it</w:t>
            </w:r>
          </w:p>
        </w:tc>
      </w:tr>
      <w:tr>
        <w:tc>
          <w:tcPr/>
          <w:p>
            <w:pPr>
              <w:pStyle w:val="Compact"/>
              <w:jc w:val="left"/>
            </w:pPr>
            <w:r>
              <w:t xml:space="preserve">Swim competently, confidently and proficiently over at least 25 metres</w:t>
            </w:r>
          </w:p>
        </w:tc>
        <w:tc>
          <w:tcPr/>
          <w:p>
            <w:pPr>
              <w:pStyle w:val="Compact"/>
              <w:jc w:val="left"/>
            </w:pPr>
            <w:r>
              <w:t xml:space="preserve">60% (3 of 5 pupils)</w:t>
            </w:r>
          </w:p>
        </w:tc>
      </w:tr>
      <w:tr>
        <w:tc>
          <w:tcPr/>
          <w:p>
            <w:pPr>
              <w:pStyle w:val="Compact"/>
              <w:jc w:val="left"/>
            </w:pPr>
            <w:r>
              <w:t xml:space="preserve">Use a range of strokes effectively, for example front crawl, backstroke and breaststroke</w:t>
            </w:r>
          </w:p>
        </w:tc>
        <w:tc>
          <w:tcPr/>
          <w:p>
            <w:pPr>
              <w:pStyle w:val="Compact"/>
              <w:jc w:val="left"/>
            </w:pPr>
            <w:r>
              <w:t xml:space="preserve">60% (3 of 5 pupils)</w:t>
            </w:r>
          </w:p>
        </w:tc>
      </w:tr>
      <w:tr>
        <w:tc>
          <w:tcPr/>
          <w:p>
            <w:pPr>
              <w:pStyle w:val="Compact"/>
              <w:jc w:val="left"/>
            </w:pPr>
            <w:r>
              <w:t xml:space="preserve">Perform safe self-rescue in different water-based situations</w:t>
            </w:r>
          </w:p>
        </w:tc>
        <w:tc>
          <w:tcPr/>
          <w:p>
            <w:pPr>
              <w:pStyle w:val="Compact"/>
              <w:jc w:val="left"/>
            </w:pPr>
            <w:r>
              <w:t xml:space="preserve">60% (3 of 5 pupils)</w:t>
            </w:r>
          </w:p>
        </w:tc>
      </w:tr>
    </w:tbl>
    <w:p>
      <w:pPr>
        <w:pStyle w:val="BodyText"/>
      </w:pPr>
      <w:r>
        <w:t xml:space="preserve">Our Year 6 cohort is small, so percentages should be read alongside the pupil numbers shown.</w:t>
      </w:r>
    </w:p>
    <w:p>
      <w:pPr>
        <w:pStyle w:val="BodyText"/>
      </w:pPr>
      <w:r>
        <w:rPr>
          <w:bCs/>
          <w:b/>
        </w:rPr>
        <w:t xml:space="preserve">Swimming and water safety lessons have been funded outside the PE and sport premium allocation.</w:t>
      </w:r>
      <w:r>
        <w:t xml:space="preserve"> </w:t>
      </w:r>
      <w:r>
        <w:t xml:space="preserve">No premium funding was used for top-up swimming this year.</w:t>
      </w:r>
    </w:p>
    <w:p>
      <w:pPr>
        <w:pStyle w:val="BodyText"/>
      </w:pPr>
      <w:r>
        <w:t xml:space="preserve">Swimming is an area for further development.</w:t>
      </w:r>
      <w:r>
        <w:t xml:space="preserve"> </w:t>
      </w:r>
      <w:r>
        <w:rPr>
          <w:bCs/>
          <w:b/>
        </w:rPr>
        <w:t xml:space="preserve">Lack of access to the local pool has been the main barrier</w:t>
      </w:r>
      <w:r>
        <w:t xml:space="preserve">, and it has limited how far we have been able to take this. We are encouraged that many of our current Year 5 cohort can already swim 25 metres using a range of strokes, and we will extend provision into 2026 to 2027 to make sure that competence is sustained and built on.</w:t>
      </w:r>
    </w:p>
    <w:p>
      <w:r>
        <w:pict>
          <v:rect style="width:0;height:1.5pt" o:hralign="center" o:hrstd="t" o:hr="t"/>
        </w:pict>
      </w:r>
    </w:p>
    <w:bookmarkEnd w:id="40"/>
    <w:bookmarkStart w:id="42" w:name="how-we-will-sustain-these-improvements"/>
    <w:p>
      <w:pPr>
        <w:pStyle w:val="Heading2"/>
      </w:pPr>
      <w:r>
        <w:t xml:space="preserve">7. How we will sustain these improvements</w:t>
      </w:r>
    </w:p>
    <w:p>
      <w:pPr>
        <w:numPr>
          <w:ilvl w:val="0"/>
          <w:numId w:val="1008"/>
        </w:numPr>
        <w:pStyle w:val="Compact"/>
      </w:pPr>
      <w:r>
        <w:rPr>
          <w:bCs/>
          <w:b/>
        </w:rPr>
        <w:t xml:space="preserve">Expertise stays in school.</w:t>
      </w:r>
      <w:r>
        <w:t xml:space="preserve"> </w:t>
      </w:r>
      <w:r>
        <w:t xml:space="preserve">Because coaches worked alongside our staff rather than in place of them, the subject knowledge and skills developed this year remain with the team. This is what makes it possible to move to an internally led model next year.</w:t>
      </w:r>
    </w:p>
    <w:p>
      <w:pPr>
        <w:numPr>
          <w:ilvl w:val="0"/>
          <w:numId w:val="1008"/>
        </w:numPr>
        <w:pStyle w:val="Compact"/>
      </w:pPr>
      <w:r>
        <w:rPr>
          <w:bCs/>
          <w:b/>
        </w:rPr>
        <w:t xml:space="preserve">Internal CPD leadership.</w:t>
      </w:r>
      <w:r>
        <w:t xml:space="preserve"> </w:t>
      </w:r>
      <w:r>
        <w:t xml:space="preserve">Our seconded PE specialist continues to lead CPD and curriculum development into 2026 to 2027, building expertise that does not depend on buying in external delivery.</w:t>
      </w:r>
    </w:p>
    <w:p>
      <w:pPr>
        <w:numPr>
          <w:ilvl w:val="0"/>
          <w:numId w:val="1008"/>
        </w:numPr>
        <w:pStyle w:val="Compact"/>
      </w:pPr>
      <w:r>
        <w:rPr>
          <w:bCs/>
          <w:b/>
        </w:rPr>
        <w:t xml:space="preserve">Equipment is a lasting asset.</w:t>
      </w:r>
      <w:r>
        <w:t xml:space="preserve"> </w:t>
      </w:r>
      <w:r>
        <w:t xml:space="preserve">The sports equipment purchased this year will be used by pupils for several years to come, and our annual inspection regime keeps play equipment safe and in service.</w:t>
      </w:r>
    </w:p>
    <w:p>
      <w:pPr>
        <w:numPr>
          <w:ilvl w:val="0"/>
          <w:numId w:val="1008"/>
        </w:numPr>
        <w:pStyle w:val="Compact"/>
      </w:pPr>
      <w:r>
        <w:rPr>
          <w:bCs/>
          <w:b/>
        </w:rPr>
        <w:t xml:space="preserve">Active play is now routine.</w:t>
      </w:r>
      <w:r>
        <w:t xml:space="preserve"> </w:t>
      </w:r>
      <w:r>
        <w:t xml:space="preserve">The daily hour of active play, the before-school activity at breakfast club, and the club programme are embedded in how the school day runs rather than being an add-on.</w:t>
      </w:r>
    </w:p>
    <w:p>
      <w:pPr>
        <w:numPr>
          <w:ilvl w:val="0"/>
          <w:numId w:val="1008"/>
        </w:numPr>
        <w:pStyle w:val="Compact"/>
      </w:pPr>
      <w:r>
        <w:rPr>
          <w:bCs/>
          <w:b/>
        </w:rPr>
        <w:t xml:space="preserve">Transport capacity.</w:t>
      </w:r>
      <w:r>
        <w:t xml:space="preserve"> </w:t>
      </w:r>
      <w:r>
        <w:t xml:space="preserve">Making sport-related use of our minibus gives us a sustainable way to take small groups to fixtures and activities, reducing our reliance on hired coaches.</w:t>
      </w:r>
    </w:p>
    <w:p>
      <w:pPr>
        <w:numPr>
          <w:ilvl w:val="0"/>
          <w:numId w:val="1008"/>
        </w:numPr>
        <w:pStyle w:val="Compact"/>
      </w:pPr>
      <w:r>
        <w:rPr>
          <w:bCs/>
          <w:b/>
        </w:rPr>
        <w:t xml:space="preserve">Partnerships and networks.</w:t>
      </w:r>
      <w:r>
        <w:t xml:space="preserve"> </w:t>
      </w:r>
      <w:r>
        <w:t xml:space="preserve">Our Westcountry Schools Trust Arena membership gives continuing access to fixtures, competitions, shared expertise and safe practice guidance. We also look forward to the</w:t>
      </w:r>
      <w:r>
        <w:t xml:space="preserve"> </w:t>
      </w:r>
      <w:r>
        <w:rPr>
          <w:bCs/>
          <w:b/>
        </w:rPr>
        <w:t xml:space="preserve">new local sports partnerships</w:t>
      </w:r>
      <w:r>
        <w:t xml:space="preserve"> </w:t>
      </w:r>
      <w:r>
        <w:t xml:space="preserve">and the opportunities these are expected to open up for a school of our size and location.</w:t>
      </w:r>
    </w:p>
    <w:bookmarkStart w:id="41" w:name="priorities-for-2026-to-2027"/>
    <w:p>
      <w:pPr>
        <w:pStyle w:val="Heading3"/>
      </w:pPr>
      <w:r>
        <w:t xml:space="preserve">Priorities for 2026 to 2027</w:t>
      </w:r>
    </w:p>
    <w:p>
      <w:pPr>
        <w:numPr>
          <w:ilvl w:val="0"/>
          <w:numId w:val="1009"/>
        </w:numPr>
        <w:pStyle w:val="Compact"/>
      </w:pPr>
      <w:r>
        <w:rPr>
          <w:bCs/>
          <w:b/>
        </w:rPr>
        <w:t xml:space="preserve">Updating and implementing our CPD offer</w:t>
      </w:r>
      <w:r>
        <w:t xml:space="preserve"> </w:t>
      </w:r>
      <w:r>
        <w:t xml:space="preserve">to reflect the updated curriculum, led by our internal PE specialist.</w:t>
      </w:r>
    </w:p>
    <w:p>
      <w:pPr>
        <w:numPr>
          <w:ilvl w:val="0"/>
          <w:numId w:val="1009"/>
        </w:numPr>
        <w:pStyle w:val="Compact"/>
      </w:pPr>
      <w:r>
        <w:rPr>
          <w:bCs/>
          <w:b/>
        </w:rPr>
        <w:t xml:space="preserve">Introducing more sporting activities</w:t>
      </w:r>
      <w:r>
        <w:t xml:space="preserve">, with dance, orienteering and pickleball coming on line, and continuing to widen participation among girls.</w:t>
      </w:r>
    </w:p>
    <w:p>
      <w:pPr>
        <w:numPr>
          <w:ilvl w:val="0"/>
          <w:numId w:val="1009"/>
        </w:numPr>
        <w:pStyle w:val="Compact"/>
      </w:pPr>
      <w:r>
        <w:rPr>
          <w:bCs/>
          <w:b/>
        </w:rPr>
        <w:t xml:space="preserve">Enhancing our swimming provision</w:t>
      </w:r>
      <w:r>
        <w:t xml:space="preserve">, including the additional commitment of starting pupils in Key Stage 1.</w:t>
      </w:r>
    </w:p>
    <w:p>
      <w:pPr>
        <w:pStyle w:val="FirstParagraph"/>
      </w:pPr>
      <w:r>
        <w:t xml:space="preserve">Alongside these, we will extend opportunities for Key Stage 1 pupils to represent the school in competitive events.</w:t>
      </w:r>
    </w:p>
    <w:p>
      <w:r>
        <w:pict>
          <v:rect style="width:0;height:1.5pt" o:hralign="center" o:hrstd="t" o:hr="t"/>
        </w:pict>
      </w:r>
    </w:p>
    <w:bookmarkEnd w:id="41"/>
    <w:bookmarkEnd w:id="42"/>
    <w:bookmarkStart w:id="43" w:name="accountability"/>
    <w:p>
      <w:pPr>
        <w:pStyle w:val="Heading2"/>
      </w:pPr>
      <w:r>
        <w:t xml:space="preserve">8. Accountability</w:t>
      </w:r>
    </w:p>
    <w:p>
      <w:pPr>
        <w:pStyle w:val="FirstParagraph"/>
      </w:pPr>
      <w:r>
        <w:t xml:space="preserve">This report was drafted by school leaders and is scheduled for review by the Local Governing Body in October 2026. The Local Governing Body scrutinises how the PE and sport premium has been planned for and used, and the outcomes achieved for pupils.</w:t>
      </w:r>
    </w:p>
    <w:tbl>
      <w:tblPr>
        <w:tblStyle w:val="Table"/>
        <w:tblW w:type="auto" w:w="0"/>
        <w:tblLook w:firstRow="0" w:lastRow="0" w:firstColumn="0" w:lastColumn="0" w:noHBand="0" w:noVBand="0" w:val="0000"/>
        <w:jc w:val="start"/>
      </w:tblPr>
      <w:tblGrid>
        <w:gridCol w:w="3960"/>
        <w:gridCol w:w="3960"/>
      </w:tblGrid>
      <w:tr>
        <w:tc>
          <w:tcPr/>
          <w:p>
            <w:pPr>
              <w:pStyle w:val="Compact"/>
              <w:jc w:val="left"/>
            </w:pPr>
            <w:r>
              <w:t xml:space="preserve">Drafted by</w:t>
            </w:r>
          </w:p>
        </w:tc>
        <w:tc>
          <w:tcPr/>
          <w:p>
            <w:pPr>
              <w:pStyle w:val="Compact"/>
              <w:jc w:val="left"/>
            </w:pPr>
            <w:r>
              <w:t xml:space="preserve">Lynsey Slater, Principal</w:t>
            </w:r>
          </w:p>
        </w:tc>
      </w:tr>
      <w:tr>
        <w:tc>
          <w:tcPr/>
          <w:p>
            <w:pPr>
              <w:pStyle w:val="Compact"/>
              <w:jc w:val="left"/>
            </w:pPr>
            <w:r>
              <w:t xml:space="preserve">Lead for PE and sport</w:t>
            </w:r>
          </w:p>
        </w:tc>
        <w:tc>
          <w:tcPr/>
          <w:p>
            <w:pPr>
              <w:pStyle w:val="Compact"/>
              <w:jc w:val="left"/>
            </w:pPr>
            <w:r>
              <w:t xml:space="preserve">Tom Lyle</w:t>
            </w:r>
          </w:p>
        </w:tc>
      </w:tr>
      <w:tr>
        <w:tc>
          <w:tcPr/>
          <w:p>
            <w:pPr>
              <w:pStyle w:val="Compact"/>
              <w:jc w:val="left"/>
            </w:pPr>
            <w:r>
              <w:t xml:space="preserve">Link governor for PE and sport</w:t>
            </w:r>
          </w:p>
        </w:tc>
        <w:tc>
          <w:tcPr/>
          <w:p>
            <w:pPr>
              <w:pStyle w:val="Compact"/>
              <w:jc w:val="left"/>
            </w:pPr>
            <w:r>
              <w:t xml:space="preserve">Jo Luxford</w:t>
            </w:r>
          </w:p>
        </w:tc>
      </w:tr>
      <w:tr>
        <w:tc>
          <w:tcPr/>
          <w:p>
            <w:pPr>
              <w:pStyle w:val="Compact"/>
              <w:jc w:val="left"/>
            </w:pPr>
            <w:r>
              <w:t xml:space="preserve">Scheduled for review by</w:t>
            </w:r>
          </w:p>
        </w:tc>
        <w:tc>
          <w:tcPr/>
          <w:p>
            <w:pPr>
              <w:pStyle w:val="Compact"/>
              <w:jc w:val="left"/>
            </w:pPr>
            <w:r>
              <w:t xml:space="preserve">Local Governing Body, October 2026</w:t>
            </w:r>
          </w:p>
        </w:tc>
      </w:tr>
    </w:tbl>
    <w:p>
      <w:pPr>
        <w:pStyle w:val="BodyText"/>
      </w:pPr>
      <w:r>
        <w:t xml:space="preserve">This report will be updated following the Local Governing Body’s review if any amendments are required.</w:t>
      </w:r>
    </w:p>
    <w:p>
      <w:pPr>
        <w:pStyle w:val="BodyText"/>
      </w:pPr>
      <w:r>
        <w:t xml:space="preserve">Our report for the previous academic year, 2024 to 2025, remains available on this website so that comparisons can be made.</w:t>
      </w:r>
    </w:p>
    <w:bookmarkEnd w:id="43"/>
    <w:bookmarkEnd w:id="44"/>
    <w:sectPr w:rsidR="00FC693F" w:rsidRPr="0006063C" w:rsidSect="00034616">
      <w:pgSz w:h="15840" w:w="12240"/>
      <w:pgMar w:bottom="1152" w:footer="720" w:gutter="0" w:header="720" w:left="1296" w:right="1296" w:top="1152"/>
      <w:cols w:space="720"/>
      <w:docGrid w:linePitch="36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abstractNum w:abstractNumId="0">
    <w:nsid w:val="FFFFFF7C"/>
    <w:multiLevelType w:val="singleLevel"/>
    <w:tmpl w:val="C310EC42"/>
    <w:lvl w:ilvl="0">
      <w:start w:val="1"/>
      <w:numFmt w:val="decimal"/>
      <w:lvlText w:val="%1."/>
      <w:lvlJc w:val="left"/>
      <w:pPr>
        <w:tabs>
          <w:tab w:pos="1800" w:val="num"/>
        </w:tabs>
        <w:ind w:hanging="360" w:left="1800"/>
      </w:pPr>
    </w:lvl>
  </w:abstractNum>
  <w:abstractNum w:abstractNumId="1">
    <w:nsid w:val="FFFFFF7D"/>
    <w:multiLevelType w:val="singleLevel"/>
    <w:tmpl w:val="E4089024"/>
    <w:lvl w:ilvl="0">
      <w:start w:val="1"/>
      <w:numFmt w:val="decimal"/>
      <w:lvlText w:val="%1."/>
      <w:lvlJc w:val="left"/>
      <w:pPr>
        <w:tabs>
          <w:tab w:pos="1440" w:val="num"/>
        </w:tabs>
        <w:ind w:hanging="360" w:left="1440"/>
      </w:pPr>
    </w:lvl>
  </w:abstractNum>
  <w:abstractNum w:abstractNumId="2">
    <w:nsid w:val="FFFFFF7E"/>
    <w:multiLevelType w:val="singleLevel"/>
    <w:tmpl w:val="FB12693A"/>
    <w:lvl w:ilvl="0">
      <w:start w:val="1"/>
      <w:numFmt w:val="decimal"/>
      <w:pStyle w:val="ListNumber3"/>
      <w:lvlText w:val="%1."/>
      <w:lvlJc w:val="left"/>
      <w:pPr>
        <w:tabs>
          <w:tab w:pos="1080" w:val="num"/>
        </w:tabs>
        <w:ind w:hanging="360" w:left="1080"/>
      </w:pPr>
    </w:lvl>
  </w:abstractNum>
  <w:abstractNum w:abstractNumId="3">
    <w:nsid w:val="FFFFFF7F"/>
    <w:multiLevelType w:val="singleLevel"/>
    <w:tmpl w:val="38441652"/>
    <w:lvl w:ilvl="0">
      <w:start w:val="1"/>
      <w:numFmt w:val="decimal"/>
      <w:pStyle w:val="ListNumber2"/>
      <w:lvlText w:val="%1."/>
      <w:lvlJc w:val="left"/>
      <w:pPr>
        <w:tabs>
          <w:tab w:pos="720" w:val="num"/>
        </w:tabs>
        <w:ind w:hanging="360" w:left="720"/>
      </w:pPr>
    </w:lvl>
  </w:abstractNum>
  <w:abstractNum w:abstractNumId="4">
    <w:nsid w:val="FFFFFF81"/>
    <w:multiLevelType w:val="singleLevel"/>
    <w:tmpl w:val="171AC3A4"/>
    <w:lvl w:ilvl="0">
      <w:start w:val="1"/>
      <w:numFmt w:val="bullet"/>
      <w:lvlText w:val=""/>
      <w:lvlJc w:val="left"/>
      <w:pPr>
        <w:tabs>
          <w:tab w:pos="1440" w:val="num"/>
        </w:tabs>
        <w:ind w:hanging="360" w:left="144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pos="1080" w:val="num"/>
        </w:tabs>
        <w:ind w:hanging="360" w:left="108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pos="720" w:val="num"/>
        </w:tabs>
        <w:ind w:hanging="360" w:left="72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pos="360" w:val="num"/>
        </w:tabs>
        <w:ind w:hanging="360" w:left="360"/>
      </w:pPr>
    </w:lvl>
  </w:abstractNum>
  <w:abstractNum w:abstractNumId="8">
    <w:nsid w:val="FFFFFF89"/>
    <w:multiLevelType w:val="singleLevel"/>
    <w:tmpl w:val="29761A62"/>
    <w:lvl w:ilvl="0">
      <w:start w:val="1"/>
      <w:numFmt w:val="bullet"/>
      <w:pStyle w:val="ListBullet"/>
      <w:lvlText w:val=""/>
      <w:lvlJc w:val="left"/>
      <w:pPr>
        <w:tabs>
          <w:tab w:pos="360" w:val="num"/>
        </w:tabs>
        <w:ind w:hanging="360" w:left="360"/>
      </w:pPr>
      <w:rPr>
        <w:rFonts w:ascii="Symbol" w:hAnsi="Symbol" w:hint="default"/>
      </w:rPr>
    </w:lvl>
  </w:abstractNum>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embedSystemFonts/>
  <w:stylePaneFormatFilter w:val="0004"/>
  <w:footnotePr>
    <w:footnote w:id="-1"/>
    <w:footnote w:id="0"/>
  </w:footnotePr>
  <w:doNotTrackMoves/>
  <w:drawingGridHorizontalSpacing w:val="360"/>
  <w:drawingGridVerticalSpacing w:val="360"/>
  <w:displayHorizontalDrawingGridEvery w:val="0"/>
  <w:displayVerticalDrawingGridEvery w:val="0"/>
  <w:rsids>
  </w:rsids>
  <w:clrSchemeMapping w:accent1="accent1" w:accent2="accent2" w:accent3="accent3" w:accent4="accent4" w:accent5="accent5" w:accent6="accent6" w:bg1="light1" w:bg2="light2" w:followedHyperlink="followedHyperlink" w:hyperlink="hyperlink" w:t1="dark1" w:t2="dark2"/>
  <w:zoom w:val="bestFit"/>
  <w:proofState w:grammar="clean"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eastAsia="ja-JP" w:val="en-U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cstheme="minorBidi" w:eastAsiaTheme="minorEastAsia" w:hAnsiTheme="minorHAnsi"/>
        <w:sz w:val="22"/>
        <w:szCs w:val="22"/>
        <w:lang w:bidi="ar-SA" w:eastAsia="en-US" w:val="en-US"/>
      </w:rPr>
    </w:rPrDefault>
    <w:pPrDefault>
      <w:pPr>
        <w:spacing w:after="200" w:line="276" w:lineRule="auto"/>
      </w:pPr>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FC693F"/>
    <w:pPr>
      <w:spacing w:after="160" w:before="0"/>
    </w:pPr>
    <w:rPr>
      <w:rFonts w:ascii="Arial" w:hAnsi="Arial"/>
      <w:b w:val="0"/>
      <w:sz w:val="21"/>
    </w:rPr>
  </w:style>
  <w:style w:styleId="Header" w:type="paragraph">
    <w:name w:val="header"/>
    <w:basedOn w:val="Normal"/>
    <w:link w:val="HeaderChar"/>
    <w:uiPriority w:val="99"/>
    <w:unhideWhenUsed/>
    <w:rsid w:val="00E618BF"/>
    <w:pPr>
      <w:tabs>
        <w:tab w:pos="4680" w:val="center"/>
        <w:tab w:pos="9360" w:val="right"/>
      </w:tabs>
      <w:spacing w:after="0" w:line="240" w:lineRule="auto"/>
    </w:pPr>
  </w:style>
  <w:style w:customStyle="1" w:styleId="HeaderChar" w:type="character">
    <w:name w:val="Header Char"/>
    <w:basedOn w:val="DefaultParagraphFont"/>
    <w:link w:val="Header"/>
    <w:uiPriority w:val="99"/>
    <w:rsid w:val="00E618BF"/>
  </w:style>
  <w:style w:styleId="Footer" w:type="paragraph">
    <w:name w:val="footer"/>
    <w:basedOn w:val="Normal"/>
    <w:link w:val="FooterChar"/>
    <w:uiPriority w:val="99"/>
    <w:unhideWhenUsed/>
    <w:rsid w:val="00E618BF"/>
    <w:pPr>
      <w:tabs>
        <w:tab w:pos="4680" w:val="center"/>
        <w:tab w:pos="9360" w:val="right"/>
      </w:tabs>
      <w:spacing w:after="0" w:line="240" w:lineRule="auto"/>
    </w:pPr>
  </w:style>
  <w:style w:customStyle="1" w:styleId="FooterChar" w:type="character">
    <w:name w:val="Footer Char"/>
    <w:basedOn w:val="DefaultParagraphFont"/>
    <w:link w:val="Footer"/>
    <w:uiPriority w:val="99"/>
    <w:rsid w:val="00E618BF"/>
  </w:style>
  <w:style w:styleId="Heading1" w:type="paragraph">
    <w:name w:val="heading 1"/>
    <w:basedOn w:val="Normal"/>
    <w:next w:val="Normal"/>
    <w:link w:val="Heading1Char"/>
    <w:uiPriority w:val="9"/>
    <w:qFormat/>
    <w:rsid w:val="00FC693F"/>
    <w:pPr>
      <w:keepNext/>
      <w:keepLines/>
      <w:spacing w:after="120" w:before="320"/>
      <w:outlineLvl w:val="0"/>
    </w:pPr>
    <w:rPr>
      <w:rFonts w:ascii="Arial" w:asciiTheme="majorHAnsi" w:cstheme="majorBidi" w:eastAsiaTheme="majorEastAsia" w:hAnsi="Arial" w:hAnsiTheme="majorHAnsi"/>
      <w:b/>
      <w:bCs/>
      <w:color w:val="1F3864"/>
      <w:sz w:val="30"/>
      <w:szCs w:val="28"/>
    </w:rPr>
  </w:style>
  <w:style w:styleId="Heading2" w:type="paragraph">
    <w:name w:val="heading 2"/>
    <w:basedOn w:val="Normal"/>
    <w:next w:val="Normal"/>
    <w:link w:val="Heading2Char"/>
    <w:uiPriority w:val="9"/>
    <w:unhideWhenUsed/>
    <w:qFormat/>
    <w:rsid w:val="00FC693F"/>
    <w:pPr>
      <w:keepNext/>
      <w:keepLines/>
      <w:spacing w:after="80" w:before="240"/>
      <w:outlineLvl w:val="1"/>
    </w:pPr>
    <w:rPr>
      <w:rFonts w:ascii="Arial" w:asciiTheme="majorHAnsi" w:cstheme="majorBidi" w:eastAsiaTheme="majorEastAsia" w:hAnsi="Arial" w:hAnsiTheme="majorHAnsi"/>
      <w:b/>
      <w:bCs/>
      <w:color w:val="1F3864"/>
      <w:sz w:val="25"/>
      <w:szCs w:val="26"/>
    </w:rPr>
  </w:style>
  <w:style w:styleId="Heading3" w:type="paragraph">
    <w:name w:val="heading 3"/>
    <w:basedOn w:val="Normal"/>
    <w:next w:val="Normal"/>
    <w:link w:val="Heading3Char"/>
    <w:uiPriority w:val="9"/>
    <w:unhideWhenUsed/>
    <w:qFormat/>
    <w:rsid w:val="00FC693F"/>
    <w:pPr>
      <w:keepNext/>
      <w:keepLines/>
      <w:spacing w:after="80" w:before="200"/>
      <w:outlineLvl w:val="2"/>
    </w:pPr>
    <w:rPr>
      <w:rFonts w:ascii="Arial" w:asciiTheme="majorHAnsi" w:cstheme="majorBidi" w:eastAsiaTheme="majorEastAsia" w:hAnsi="Arial" w:hAnsiTheme="majorHAnsi"/>
      <w:b/>
      <w:bCs/>
      <w:color w:val="2E5496"/>
      <w:sz w:val="22"/>
    </w:rPr>
  </w:style>
  <w:style w:styleId="Heading4" w:type="paragraph">
    <w:name w:val="heading 4"/>
    <w:basedOn w:val="Normal"/>
    <w:next w:val="Normal"/>
    <w:link w:val="Heading4Char"/>
    <w:uiPriority w:val="9"/>
    <w:semiHidden/>
    <w:unhideWhenUsed/>
    <w:qFormat/>
    <w:rsid w:val="00FC693F"/>
    <w:pPr>
      <w:keepNext/>
      <w:keepLines/>
      <w:spacing w:after="60" w:before="160"/>
      <w:outlineLvl w:val="3"/>
    </w:pPr>
    <w:rPr>
      <w:rFonts w:ascii="Arial" w:asciiTheme="majorHAnsi" w:cstheme="majorBidi" w:eastAsiaTheme="majorEastAsia" w:hAnsi="Arial" w:hAnsiTheme="majorHAnsi"/>
      <w:b/>
      <w:bCs/>
      <w:i/>
      <w:iCs/>
      <w:color w:val="2E5496"/>
      <w:sz w:val="21"/>
    </w:rPr>
  </w:style>
  <w:style w:styleId="Heading5" w:type="paragraph">
    <w:name w:val="heading 5"/>
    <w:basedOn w:val="Normal"/>
    <w:next w:val="Normal"/>
    <w:link w:val="Heading5Char"/>
    <w:uiPriority w:val="9"/>
    <w:semiHidden/>
    <w:unhideWhenUsed/>
    <w:qFormat/>
    <w:rsid w:val="00FC693F"/>
    <w:pPr>
      <w:keepNext/>
      <w:keepLines/>
      <w:spacing w:after="0" w:before="200"/>
      <w:outlineLvl w:val="4"/>
    </w:pPr>
    <w:rPr>
      <w:rFonts w:asciiTheme="majorHAnsi" w:cstheme="majorBidi" w:eastAsiaTheme="majorEastAsia" w:hAnsiTheme="majorHAnsi"/>
      <w:color w:themeColor="accent1" w:themeShade="7F" w:val="243F60"/>
    </w:rPr>
  </w:style>
  <w:style w:styleId="Heading6" w:type="paragraph">
    <w:name w:val="heading 6"/>
    <w:basedOn w:val="Normal"/>
    <w:next w:val="Normal"/>
    <w:link w:val="Heading6Char"/>
    <w:uiPriority w:val="9"/>
    <w:semiHidden/>
    <w:unhideWhenUsed/>
    <w:qFormat/>
    <w:rsid w:val="00FC693F"/>
    <w:pPr>
      <w:keepNext/>
      <w:keepLines/>
      <w:spacing w:after="0" w:before="200"/>
      <w:outlineLvl w:val="5"/>
    </w:pPr>
    <w:rPr>
      <w:rFonts w:asciiTheme="majorHAnsi" w:cstheme="majorBidi" w:eastAsiaTheme="majorEastAsia" w:hAnsiTheme="majorHAnsi"/>
      <w:i/>
      <w:iCs/>
      <w:color w:themeColor="accent1" w:themeShade="7F" w:val="243F60"/>
    </w:rPr>
  </w:style>
  <w:style w:styleId="Heading7" w:type="paragraph">
    <w:name w:val="heading 7"/>
    <w:basedOn w:val="Normal"/>
    <w:next w:val="Normal"/>
    <w:link w:val="Heading7Char"/>
    <w:uiPriority w:val="9"/>
    <w:semiHidden/>
    <w:unhideWhenUsed/>
    <w:qFormat/>
    <w:rsid w:val="00FC693F"/>
    <w:pPr>
      <w:keepNext/>
      <w:keepLines/>
      <w:spacing w:after="0" w:before="200"/>
      <w:outlineLvl w:val="6"/>
    </w:pPr>
    <w:rPr>
      <w:rFonts w:asciiTheme="majorHAnsi" w:cstheme="majorBidi" w:eastAsiaTheme="majorEastAsia" w:hAnsiTheme="majorHAnsi"/>
      <w:i/>
      <w:iCs/>
      <w:color w:themeColor="text1" w:themeTint="BF" w:val="404040"/>
    </w:rPr>
  </w:style>
  <w:style w:styleId="Heading8" w:type="paragraph">
    <w:name w:val="heading 8"/>
    <w:basedOn w:val="Normal"/>
    <w:next w:val="Normal"/>
    <w:link w:val="Heading8Char"/>
    <w:uiPriority w:val="9"/>
    <w:semiHidden/>
    <w:unhideWhenUsed/>
    <w:qFormat/>
    <w:rsid w:val="00FC693F"/>
    <w:pPr>
      <w:keepNext/>
      <w:keepLines/>
      <w:spacing w:after="0" w:before="200"/>
      <w:outlineLvl w:val="7"/>
    </w:pPr>
    <w:rPr>
      <w:rFonts w:asciiTheme="majorHAnsi" w:cstheme="majorBidi" w:eastAsiaTheme="majorEastAsia" w:hAnsiTheme="majorHAnsi"/>
      <w:color w:themeColor="accent1" w:val="4F81BD"/>
      <w:sz w:val="20"/>
      <w:szCs w:val="20"/>
    </w:rPr>
  </w:style>
  <w:style w:styleId="Heading9" w:type="paragraph">
    <w:name w:val="heading 9"/>
    <w:basedOn w:val="Normal"/>
    <w:next w:val="Normal"/>
    <w:link w:val="Heading9Char"/>
    <w:uiPriority w:val="9"/>
    <w:semiHidden/>
    <w:unhideWhenUsed/>
    <w:qFormat/>
    <w:rsid w:val="00FC693F"/>
    <w:pPr>
      <w:keepNext/>
      <w:keepLines/>
      <w:spacing w:after="0" w:before="200"/>
      <w:outlineLvl w:val="8"/>
    </w:pPr>
    <w:rPr>
      <w:rFonts w:asciiTheme="majorHAnsi" w:cstheme="majorBidi" w:eastAsiaTheme="majorEastAsia" w:hAnsiTheme="majorHAnsi"/>
      <w:i/>
      <w:iCs/>
      <w:color w:themeColor="text1" w:themeTint="BF" w:val="404040"/>
      <w:sz w:val="20"/>
      <w:szCs w:val="20"/>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NoSpacing" w:type="paragraph">
    <w:name w:val="No Spacing"/>
    <w:uiPriority w:val="1"/>
    <w:qFormat/>
    <w:rsid w:val="00FC693F"/>
    <w:pPr>
      <w:spacing w:after="0" w:line="240" w:lineRule="auto"/>
    </w:pPr>
  </w:style>
  <w:style w:customStyle="1" w:styleId="Heading1Char" w:type="character">
    <w:name w:val="Heading 1 Char"/>
    <w:basedOn w:val="DefaultParagraphFont"/>
    <w:link w:val="Heading1"/>
    <w:uiPriority w:val="9"/>
    <w:rsid w:val="00FC693F"/>
    <w:rPr>
      <w:rFonts w:asciiTheme="majorHAnsi" w:cstheme="majorBidi" w:eastAsiaTheme="majorEastAsia" w:hAnsiTheme="majorHAnsi"/>
      <w:b/>
      <w:bCs/>
      <w:color w:themeColor="accent1" w:themeShade="BF" w:val="365F91"/>
      <w:sz w:val="28"/>
      <w:szCs w:val="28"/>
    </w:rPr>
  </w:style>
  <w:style w:customStyle="1" w:styleId="Heading2Char" w:type="character">
    <w:name w:val="Heading 2 Char"/>
    <w:basedOn w:val="DefaultParagraphFont"/>
    <w:link w:val="Heading2"/>
    <w:uiPriority w:val="9"/>
    <w:rsid w:val="00FC693F"/>
    <w:rPr>
      <w:rFonts w:asciiTheme="majorHAnsi" w:cstheme="majorBidi" w:eastAsiaTheme="majorEastAsia" w:hAnsiTheme="majorHAnsi"/>
      <w:b/>
      <w:bCs/>
      <w:color w:themeColor="accent1" w:val="4F81BD"/>
      <w:sz w:val="26"/>
      <w:szCs w:val="26"/>
    </w:rPr>
  </w:style>
  <w:style w:customStyle="1" w:styleId="Heading3Char" w:type="character">
    <w:name w:val="Heading 3 Char"/>
    <w:basedOn w:val="DefaultParagraphFont"/>
    <w:link w:val="Heading3"/>
    <w:uiPriority w:val="9"/>
    <w:rsid w:val="00FC693F"/>
    <w:rPr>
      <w:rFonts w:asciiTheme="majorHAnsi" w:cstheme="majorBidi" w:eastAsiaTheme="majorEastAsia" w:hAnsiTheme="majorHAnsi"/>
      <w:b/>
      <w:bCs/>
      <w:color w:themeColor="accent1" w:val="4F81BD"/>
    </w:rPr>
  </w:style>
  <w:style w:styleId="Title" w:type="paragraph">
    <w:name w:val="Title"/>
    <w:basedOn w:val="Normal"/>
    <w:next w:val="Normal"/>
    <w:link w:val="TitleChar"/>
    <w:uiPriority w:val="10"/>
    <w:qFormat/>
    <w:rsid w:val="00FC693F"/>
    <w:pPr>
      <w:pBdr>
        <w:bottom w:color="4F81BD" w:space="4" w:sz="8" w:themeColor="accent1" w:val="single"/>
      </w:pBdr>
      <w:spacing w:after="80" w:before="0" w:line="240" w:lineRule="auto"/>
      <w:contextualSpacing/>
    </w:pPr>
    <w:rPr>
      <w:rFonts w:ascii="Arial" w:asciiTheme="majorHAnsi" w:cstheme="majorBidi" w:eastAsiaTheme="majorEastAsia" w:hAnsi="Arial" w:hAnsiTheme="majorHAnsi"/>
      <w:b/>
      <w:color w:val="1F3864"/>
      <w:spacing w:val="5"/>
      <w:kern w:val="28"/>
      <w:sz w:val="40"/>
      <w:szCs w:val="52"/>
    </w:rPr>
  </w:style>
  <w:style w:customStyle="1" w:styleId="TitleChar" w:type="character">
    <w:name w:val="Title Char"/>
    <w:basedOn w:val="DefaultParagraphFont"/>
    <w:link w:val="Title"/>
    <w:uiPriority w:val="10"/>
    <w:rsid w:val="00FC693F"/>
    <w:rPr>
      <w:rFonts w:asciiTheme="majorHAnsi" w:cstheme="majorBidi" w:eastAsiaTheme="majorEastAsia" w:hAnsiTheme="majorHAnsi"/>
      <w:color w:themeColor="text2" w:themeShade="BF" w:val="17365D"/>
      <w:spacing w:val="5"/>
      <w:kern w:val="28"/>
      <w:sz w:val="52"/>
      <w:szCs w:val="52"/>
    </w:rPr>
  </w:style>
  <w:style w:styleId="Subtitle" w:type="paragraph">
    <w:name w:val="Subtitle"/>
    <w:basedOn w:val="Normal"/>
    <w:next w:val="Normal"/>
    <w:link w:val="SubtitleChar"/>
    <w:uiPriority w:val="11"/>
    <w:qFormat/>
    <w:rsid w:val="00FC693F"/>
    <w:pPr>
      <w:numPr>
        <w:ilvl w:val="1"/>
      </w:numPr>
    </w:pPr>
    <w:rPr>
      <w:rFonts w:asciiTheme="majorHAnsi" w:cstheme="majorBidi" w:eastAsiaTheme="majorEastAsia" w:hAnsiTheme="majorHAnsi"/>
      <w:i/>
      <w:iCs/>
      <w:color w:themeColor="accent1" w:val="4F81BD"/>
      <w:spacing w:val="15"/>
      <w:sz w:val="24"/>
      <w:szCs w:val="24"/>
    </w:rPr>
  </w:style>
  <w:style w:customStyle="1" w:styleId="SubtitleChar" w:type="character">
    <w:name w:val="Subtitle Char"/>
    <w:basedOn w:val="DefaultParagraphFont"/>
    <w:link w:val="Subtitle"/>
    <w:uiPriority w:val="11"/>
    <w:rsid w:val="00FC693F"/>
    <w:rPr>
      <w:rFonts w:asciiTheme="majorHAnsi" w:cstheme="majorBidi" w:eastAsiaTheme="majorEastAsia" w:hAnsiTheme="majorHAnsi"/>
      <w:i/>
      <w:iCs/>
      <w:color w:themeColor="accent1" w:val="4F81BD"/>
      <w:spacing w:val="15"/>
      <w:sz w:val="24"/>
      <w:szCs w:val="24"/>
    </w:rPr>
  </w:style>
  <w:style w:styleId="ListParagraph" w:type="paragraph">
    <w:name w:val="List Paragraph"/>
    <w:basedOn w:val="Normal"/>
    <w:uiPriority w:val="34"/>
    <w:qFormat/>
    <w:rsid w:val="00FC693F"/>
    <w:pPr>
      <w:ind w:left="720"/>
      <w:contextualSpacing/>
    </w:pPr>
  </w:style>
  <w:style w:styleId="BodyText" w:type="paragraph">
    <w:name w:val="Body Text"/>
    <w:basedOn w:val="Normal"/>
    <w:link w:val="BodyTextChar"/>
    <w:uiPriority w:val="99"/>
    <w:unhideWhenUsed/>
    <w:rsid w:val="00AA1D8D"/>
    <w:pPr>
      <w:spacing w:after="120"/>
    </w:pPr>
  </w:style>
  <w:style w:customStyle="1" w:styleId="BodyTextChar" w:type="character">
    <w:name w:val="Body Text Char"/>
    <w:basedOn w:val="DefaultParagraphFont"/>
    <w:link w:val="BodyText"/>
    <w:uiPriority w:val="99"/>
    <w:rsid w:val="00AA1D8D"/>
  </w:style>
  <w:style w:styleId="BodyText2" w:type="paragraph">
    <w:name w:val="Body Text 2"/>
    <w:basedOn w:val="Normal"/>
    <w:link w:val="BodyText2Char"/>
    <w:uiPriority w:val="99"/>
    <w:unhideWhenUsed/>
    <w:rsid w:val="00AA1D8D"/>
    <w:pPr>
      <w:spacing w:after="120" w:line="480" w:lineRule="auto"/>
    </w:pPr>
  </w:style>
  <w:style w:customStyle="1" w:styleId="BodyText2Char" w:type="character">
    <w:name w:val="Body Text 2 Char"/>
    <w:basedOn w:val="DefaultParagraphFont"/>
    <w:link w:val="BodyText2"/>
    <w:uiPriority w:val="99"/>
    <w:rsid w:val="00AA1D8D"/>
  </w:style>
  <w:style w:styleId="BodyText3" w:type="paragraph">
    <w:name w:val="Body Text 3"/>
    <w:basedOn w:val="Normal"/>
    <w:link w:val="BodyText3Char"/>
    <w:uiPriority w:val="99"/>
    <w:unhideWhenUsed/>
    <w:rsid w:val="00AA1D8D"/>
    <w:pPr>
      <w:spacing w:after="120"/>
    </w:pPr>
    <w:rPr>
      <w:sz w:val="16"/>
      <w:szCs w:val="16"/>
    </w:rPr>
  </w:style>
  <w:style w:customStyle="1" w:styleId="BodyText3Char" w:type="character">
    <w:name w:val="Body Text 3 Char"/>
    <w:basedOn w:val="DefaultParagraphFont"/>
    <w:link w:val="BodyText3"/>
    <w:uiPriority w:val="99"/>
    <w:rsid w:val="00AA1D8D"/>
    <w:rPr>
      <w:sz w:val="16"/>
      <w:szCs w:val="16"/>
    </w:rPr>
  </w:style>
  <w:style w:styleId="List" w:type="paragraph">
    <w:name w:val="List"/>
    <w:basedOn w:val="Normal"/>
    <w:uiPriority w:val="99"/>
    <w:unhideWhenUsed/>
    <w:rsid w:val="00AA1D8D"/>
    <w:pPr>
      <w:ind w:hanging="360" w:left="360"/>
      <w:contextualSpacing/>
    </w:pPr>
  </w:style>
  <w:style w:styleId="List2" w:type="paragraph">
    <w:name w:val="List 2"/>
    <w:basedOn w:val="Normal"/>
    <w:uiPriority w:val="99"/>
    <w:unhideWhenUsed/>
    <w:rsid w:val="00326F90"/>
    <w:pPr>
      <w:ind w:hanging="360" w:left="720"/>
      <w:contextualSpacing/>
    </w:pPr>
  </w:style>
  <w:style w:styleId="List3" w:type="paragraph">
    <w:name w:val="List 3"/>
    <w:basedOn w:val="Normal"/>
    <w:uiPriority w:val="99"/>
    <w:unhideWhenUsed/>
    <w:rsid w:val="00326F90"/>
    <w:pPr>
      <w:ind w:hanging="360" w:left="1080"/>
      <w:contextualSpacing/>
    </w:pPr>
  </w:style>
  <w:style w:styleId="ListBullet" w:type="paragraph">
    <w:name w:val="List Bullet"/>
    <w:basedOn w:val="Normal"/>
    <w:uiPriority w:val="99"/>
    <w:unhideWhenUsed/>
    <w:rsid w:val="00326F90"/>
    <w:pPr>
      <w:numPr>
        <w:numId w:val="1"/>
      </w:numPr>
      <w:spacing w:after="80" w:before="0"/>
      <w:contextualSpacing/>
    </w:pPr>
    <w:rPr>
      <w:rFonts w:ascii="Arial" w:hAnsi="Arial"/>
      <w:b w:val="0"/>
      <w:sz w:val="21"/>
    </w:rPr>
  </w:style>
  <w:style w:styleId="ListBullet2" w:type="paragraph">
    <w:name w:val="List Bullet 2"/>
    <w:basedOn w:val="Normal"/>
    <w:uiPriority w:val="99"/>
    <w:unhideWhenUsed/>
    <w:rsid w:val="00326F90"/>
    <w:pPr>
      <w:numPr>
        <w:numId w:val="2"/>
      </w:numPr>
      <w:contextualSpacing/>
    </w:pPr>
  </w:style>
  <w:style w:styleId="ListBullet3" w:type="paragraph">
    <w:name w:val="List Bullet 3"/>
    <w:basedOn w:val="Normal"/>
    <w:uiPriority w:val="99"/>
    <w:unhideWhenUsed/>
    <w:rsid w:val="00326F90"/>
    <w:pPr>
      <w:numPr>
        <w:numId w:val="3"/>
      </w:numPr>
      <w:contextualSpacing/>
    </w:pPr>
  </w:style>
  <w:style w:styleId="ListNumber" w:type="paragraph">
    <w:name w:val="List Number"/>
    <w:basedOn w:val="Normal"/>
    <w:uiPriority w:val="99"/>
    <w:unhideWhenUsed/>
    <w:rsid w:val="00326F90"/>
    <w:pPr>
      <w:numPr>
        <w:numId w:val="5"/>
      </w:numPr>
      <w:spacing w:after="80" w:before="0"/>
      <w:contextualSpacing/>
    </w:pPr>
    <w:rPr>
      <w:rFonts w:ascii="Arial" w:hAnsi="Arial"/>
      <w:b w:val="0"/>
      <w:sz w:val="21"/>
    </w:rPr>
  </w:style>
  <w:style w:styleId="ListNumber2" w:type="paragraph">
    <w:name w:val="List Number 2"/>
    <w:basedOn w:val="Normal"/>
    <w:uiPriority w:val="99"/>
    <w:unhideWhenUsed/>
    <w:rsid w:val="0029639D"/>
    <w:pPr>
      <w:numPr>
        <w:numId w:val="6"/>
      </w:numPr>
      <w:contextualSpacing/>
    </w:pPr>
  </w:style>
  <w:style w:styleId="ListNumber3" w:type="paragraph">
    <w:name w:val="List Number 3"/>
    <w:basedOn w:val="Normal"/>
    <w:uiPriority w:val="99"/>
    <w:unhideWhenUsed/>
    <w:rsid w:val="0029639D"/>
    <w:pPr>
      <w:numPr>
        <w:numId w:val="7"/>
      </w:numPr>
      <w:contextualSpacing/>
    </w:pPr>
  </w:style>
  <w:style w:styleId="ListContinue" w:type="paragraph">
    <w:name w:val="List Continue"/>
    <w:basedOn w:val="Normal"/>
    <w:uiPriority w:val="99"/>
    <w:unhideWhenUsed/>
    <w:rsid w:val="0029639D"/>
    <w:pPr>
      <w:spacing w:after="120"/>
      <w:ind w:left="360"/>
      <w:contextualSpacing/>
    </w:pPr>
  </w:style>
  <w:style w:styleId="ListContinue2" w:type="paragraph">
    <w:name w:val="List Continue 2"/>
    <w:basedOn w:val="Normal"/>
    <w:uiPriority w:val="99"/>
    <w:unhideWhenUsed/>
    <w:rsid w:val="0029639D"/>
    <w:pPr>
      <w:spacing w:after="120"/>
      <w:ind w:left="720"/>
      <w:contextualSpacing/>
    </w:pPr>
  </w:style>
  <w:style w:styleId="ListContinue3" w:type="paragraph">
    <w:name w:val="List Continue 3"/>
    <w:basedOn w:val="Normal"/>
    <w:uiPriority w:val="99"/>
    <w:unhideWhenUsed/>
    <w:rsid w:val="0029639D"/>
    <w:pPr>
      <w:spacing w:after="120"/>
      <w:ind w:left="1080"/>
      <w:contextualSpacing/>
    </w:pPr>
  </w:style>
  <w:style w:styleId="MacroText" w:type="paragraph">
    <w:name w:val="macro"/>
    <w:link w:val="MacroTextChar"/>
    <w:uiPriority w:val="99"/>
    <w:unhideWhenUsed/>
    <w:rsid w:val="0029639D"/>
    <w:pPr>
      <w:tabs>
        <w:tab w:pos="576" w:val="left"/>
        <w:tab w:pos="1152" w:val="left"/>
        <w:tab w:pos="1728" w:val="left"/>
        <w:tab w:pos="2304" w:val="left"/>
        <w:tab w:pos="2880" w:val="left"/>
        <w:tab w:pos="3456" w:val="left"/>
        <w:tab w:pos="4032" w:val="left"/>
      </w:tabs>
    </w:pPr>
    <w:rPr>
      <w:rFonts w:ascii="Courier" w:hAnsi="Courier"/>
      <w:sz w:val="20"/>
      <w:szCs w:val="20"/>
    </w:rPr>
  </w:style>
  <w:style w:customStyle="1" w:styleId="MacroTextChar" w:type="character">
    <w:name w:val="Macro Text Char"/>
    <w:basedOn w:val="DefaultParagraphFont"/>
    <w:link w:val="MacroText"/>
    <w:uiPriority w:val="99"/>
    <w:rsid w:val="0029639D"/>
    <w:rPr>
      <w:rFonts w:ascii="Courier" w:hAnsi="Courier"/>
      <w:sz w:val="20"/>
      <w:szCs w:val="20"/>
    </w:rPr>
  </w:style>
  <w:style w:styleId="Quote" w:type="paragraph">
    <w:name w:val="Quote"/>
    <w:basedOn w:val="Normal"/>
    <w:next w:val="Normal"/>
    <w:link w:val="QuoteChar"/>
    <w:uiPriority w:val="29"/>
    <w:qFormat/>
    <w:rsid w:val="00FC693F"/>
    <w:rPr>
      <w:i/>
      <w:iCs/>
      <w:color w:themeColor="text1" w:val="000000"/>
    </w:rPr>
  </w:style>
  <w:style w:customStyle="1" w:styleId="QuoteChar" w:type="character">
    <w:name w:val="Quote Char"/>
    <w:basedOn w:val="DefaultParagraphFont"/>
    <w:link w:val="Quote"/>
    <w:uiPriority w:val="29"/>
    <w:rsid w:val="00FC693F"/>
    <w:rPr>
      <w:i/>
      <w:iCs/>
      <w:color w:themeColor="text1" w:val="000000"/>
    </w:rPr>
  </w:style>
  <w:style w:customStyle="1" w:styleId="Heading4Char" w:type="character">
    <w:name w:val="Heading 4 Char"/>
    <w:basedOn w:val="DefaultParagraphFont"/>
    <w:link w:val="Heading4"/>
    <w:uiPriority w:val="9"/>
    <w:semiHidden/>
    <w:rsid w:val="00FC693F"/>
    <w:rPr>
      <w:rFonts w:asciiTheme="majorHAnsi" w:cstheme="majorBidi" w:eastAsiaTheme="majorEastAsia" w:hAnsiTheme="majorHAnsi"/>
      <w:b/>
      <w:bCs/>
      <w:i/>
      <w:iCs/>
      <w:color w:themeColor="accent1" w:val="4F81BD"/>
    </w:rPr>
  </w:style>
  <w:style w:customStyle="1" w:styleId="Heading5Char" w:type="character">
    <w:name w:val="Heading 5 Char"/>
    <w:basedOn w:val="DefaultParagraphFont"/>
    <w:link w:val="Heading5"/>
    <w:uiPriority w:val="9"/>
    <w:semiHidden/>
    <w:rsid w:val="00FC693F"/>
    <w:rPr>
      <w:rFonts w:asciiTheme="majorHAnsi" w:cstheme="majorBidi" w:eastAsiaTheme="majorEastAsia" w:hAnsiTheme="majorHAnsi"/>
      <w:color w:themeColor="accent1" w:themeShade="7F" w:val="243F60"/>
    </w:rPr>
  </w:style>
  <w:style w:customStyle="1" w:styleId="Heading6Char" w:type="character">
    <w:name w:val="Heading 6 Char"/>
    <w:basedOn w:val="DefaultParagraphFont"/>
    <w:link w:val="Heading6"/>
    <w:uiPriority w:val="9"/>
    <w:semiHidden/>
    <w:rsid w:val="00FC693F"/>
    <w:rPr>
      <w:rFonts w:asciiTheme="majorHAnsi" w:cstheme="majorBidi" w:eastAsiaTheme="majorEastAsia" w:hAnsiTheme="majorHAnsi"/>
      <w:i/>
      <w:iCs/>
      <w:color w:themeColor="accent1" w:themeShade="7F" w:val="243F60"/>
    </w:rPr>
  </w:style>
  <w:style w:customStyle="1" w:styleId="Heading7Char" w:type="character">
    <w:name w:val="Heading 7 Char"/>
    <w:basedOn w:val="DefaultParagraphFont"/>
    <w:link w:val="Heading7"/>
    <w:uiPriority w:val="9"/>
    <w:semiHidden/>
    <w:rsid w:val="00FC693F"/>
    <w:rPr>
      <w:rFonts w:asciiTheme="majorHAnsi" w:cstheme="majorBidi" w:eastAsiaTheme="majorEastAsia" w:hAnsiTheme="majorHAnsi"/>
      <w:i/>
      <w:iCs/>
      <w:color w:themeColor="text1" w:themeTint="BF" w:val="404040"/>
    </w:rPr>
  </w:style>
  <w:style w:customStyle="1" w:styleId="Heading8Char" w:type="character">
    <w:name w:val="Heading 8 Char"/>
    <w:basedOn w:val="DefaultParagraphFont"/>
    <w:link w:val="Heading8"/>
    <w:uiPriority w:val="9"/>
    <w:semiHidden/>
    <w:rsid w:val="00FC693F"/>
    <w:rPr>
      <w:rFonts w:asciiTheme="majorHAnsi" w:cstheme="majorBidi" w:eastAsiaTheme="majorEastAsia" w:hAnsiTheme="majorHAnsi"/>
      <w:color w:themeColor="accent1" w:val="4F81BD"/>
      <w:sz w:val="20"/>
      <w:szCs w:val="20"/>
    </w:rPr>
  </w:style>
  <w:style w:customStyle="1" w:styleId="Heading9Char" w:type="character">
    <w:name w:val="Heading 9 Char"/>
    <w:basedOn w:val="DefaultParagraphFont"/>
    <w:link w:val="Heading9"/>
    <w:uiPriority w:val="9"/>
    <w:semiHidden/>
    <w:rsid w:val="00FC693F"/>
    <w:rPr>
      <w:rFonts w:asciiTheme="majorHAnsi" w:cstheme="majorBidi" w:eastAsiaTheme="majorEastAsia" w:hAnsiTheme="majorHAnsi"/>
      <w:i/>
      <w:iCs/>
      <w:color w:themeColor="text1" w:themeTint="BF" w:val="404040"/>
      <w:sz w:val="20"/>
      <w:szCs w:val="20"/>
    </w:rPr>
  </w:style>
  <w:style w:styleId="Caption" w:type="paragraph">
    <w:name w:val="caption"/>
    <w:basedOn w:val="Normal"/>
    <w:next w:val="Normal"/>
    <w:uiPriority w:val="35"/>
    <w:semiHidden/>
    <w:unhideWhenUsed/>
    <w:qFormat/>
    <w:rsid w:val="00FC693F"/>
    <w:pPr>
      <w:spacing w:line="240" w:lineRule="auto"/>
    </w:pPr>
    <w:rPr>
      <w:b/>
      <w:bCs/>
      <w:color w:themeColor="accent1" w:val="4F81BD"/>
      <w:sz w:val="18"/>
      <w:szCs w:val="18"/>
    </w:rPr>
  </w:style>
  <w:style w:styleId="Strong" w:type="character">
    <w:name w:val="Strong"/>
    <w:basedOn w:val="DefaultParagraphFont"/>
    <w:uiPriority w:val="22"/>
    <w:qFormat/>
    <w:rsid w:val="00FC693F"/>
    <w:rPr>
      <w:b/>
      <w:bCs/>
    </w:rPr>
  </w:style>
  <w:style w:styleId="Emphasis" w:type="character">
    <w:name w:val="Emphasis"/>
    <w:basedOn w:val="DefaultParagraphFont"/>
    <w:uiPriority w:val="20"/>
    <w:qFormat/>
    <w:rsid w:val="00FC693F"/>
    <w:rPr>
      <w:i/>
      <w:iCs/>
    </w:rPr>
  </w:style>
  <w:style w:styleId="IntenseQuote" w:type="paragraph">
    <w:name w:val="Intense Quote"/>
    <w:basedOn w:val="Normal"/>
    <w:next w:val="Normal"/>
    <w:link w:val="IntenseQuoteChar"/>
    <w:uiPriority w:val="30"/>
    <w:qFormat/>
    <w:rsid w:val="00FC693F"/>
    <w:pPr>
      <w:pBdr>
        <w:bottom w:color="4F81BD" w:space="4" w:sz="4" w:themeColor="accent1" w:val="single"/>
      </w:pBdr>
      <w:spacing w:after="280" w:before="200"/>
      <w:ind w:left="936" w:right="936"/>
    </w:pPr>
    <w:rPr>
      <w:b/>
      <w:bCs/>
      <w:i/>
      <w:iCs/>
      <w:color w:themeColor="accent1" w:val="4F81BD"/>
    </w:rPr>
  </w:style>
  <w:style w:customStyle="1" w:styleId="IntenseQuoteChar" w:type="character">
    <w:name w:val="Intense Quote Char"/>
    <w:basedOn w:val="DefaultParagraphFont"/>
    <w:link w:val="IntenseQuote"/>
    <w:uiPriority w:val="30"/>
    <w:rsid w:val="00FC693F"/>
    <w:rPr>
      <w:b/>
      <w:bCs/>
      <w:i/>
      <w:iCs/>
      <w:color w:themeColor="accent1" w:val="4F81BD"/>
    </w:rPr>
  </w:style>
  <w:style w:styleId="SubtleEmphasis" w:type="character">
    <w:name w:val="Subtle Emphasis"/>
    <w:basedOn w:val="DefaultParagraphFont"/>
    <w:uiPriority w:val="19"/>
    <w:qFormat/>
    <w:rsid w:val="00FC693F"/>
    <w:rPr>
      <w:i/>
      <w:iCs/>
      <w:color w:themeColor="text1" w:themeTint="7F" w:val="808080"/>
    </w:rPr>
  </w:style>
  <w:style w:styleId="IntenseEmphasis" w:type="character">
    <w:name w:val="Intense Emphasis"/>
    <w:basedOn w:val="DefaultParagraphFont"/>
    <w:uiPriority w:val="21"/>
    <w:qFormat/>
    <w:rsid w:val="00FC693F"/>
    <w:rPr>
      <w:b/>
      <w:bCs/>
      <w:i/>
      <w:iCs/>
      <w:color w:themeColor="accent1" w:val="4F81BD"/>
    </w:rPr>
  </w:style>
  <w:style w:styleId="SubtleReference" w:type="character">
    <w:name w:val="Subtle Reference"/>
    <w:basedOn w:val="DefaultParagraphFont"/>
    <w:uiPriority w:val="31"/>
    <w:qFormat/>
    <w:rsid w:val="00FC693F"/>
    <w:rPr>
      <w:smallCaps/>
      <w:color w:themeColor="accent2" w:val="C0504D"/>
      <w:u w:val="single"/>
    </w:rPr>
  </w:style>
  <w:style w:styleId="IntenseReference" w:type="character">
    <w:name w:val="Intense Reference"/>
    <w:basedOn w:val="DefaultParagraphFont"/>
    <w:uiPriority w:val="32"/>
    <w:qFormat/>
    <w:rsid w:val="00FC693F"/>
    <w:rPr>
      <w:b/>
      <w:bCs/>
      <w:smallCaps/>
      <w:color w:themeColor="accent2" w:val="C0504D"/>
      <w:spacing w:val="5"/>
      <w:u w:val="single"/>
    </w:rPr>
  </w:style>
  <w:style w:styleId="BookTitle" w:type="character">
    <w:name w:val="Book Title"/>
    <w:basedOn w:val="DefaultParagraphFont"/>
    <w:uiPriority w:val="33"/>
    <w:qFormat/>
    <w:rsid w:val="00FC693F"/>
    <w:rPr>
      <w:b/>
      <w:bCs/>
      <w:smallCaps/>
      <w:spacing w:val="5"/>
    </w:rPr>
  </w:style>
  <w:style w:styleId="TOCHeading" w:type="paragraph">
    <w:name w:val="TOC Heading"/>
    <w:basedOn w:val="Heading1"/>
    <w:next w:val="Normal"/>
    <w:uiPriority w:val="39"/>
    <w:semiHidden/>
    <w:unhideWhenUsed/>
    <w:qFormat/>
    <w:rsid w:val="00FC693F"/>
    <w:pPr>
      <w:outlineLvl w:val="9"/>
    </w:pPr>
  </w:style>
  <w:style w:styleId="TableGrid" w:type="table">
    <w:name w:val="Table Grid"/>
    <w:basedOn w:val="TableNormal"/>
    <w:uiPriority w:val="59"/>
    <w:rsid w:val="00FC693F"/>
    <w:pPr>
      <w:spacing w:after="0" w:line="240" w:lineRule="auto"/>
    </w:pPr>
    <w:tblPr>
      <w:tblInd w:type="dxa" w:w="0"/>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type="dxa" w:w="0"/>
        <w:left w:type="dxa" w:w="108"/>
        <w:bottom w:type="dxa" w:w="0"/>
        <w:right w:type="dxa" w:w="108"/>
      </w:tblCellMar>
    </w:tblPr>
  </w:style>
  <w:style w:styleId="LightShading" w:type="table">
    <w:name w:val="Light Shading"/>
    <w:basedOn w:val="TableNormal"/>
    <w:uiPriority w:val="60"/>
    <w:rsid w:val="00FC693F"/>
    <w:pPr>
      <w:spacing w:after="0" w:line="240" w:lineRule="auto"/>
    </w:pPr>
    <w:rPr>
      <w:color w:themeColor="text1" w:themeShade="BF"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LightShading-Accent1" w:type="table">
    <w:name w:val="Light Shading Accent 1"/>
    <w:basedOn w:val="TableNormal"/>
    <w:uiPriority w:val="60"/>
    <w:rsid w:val="00FC693F"/>
    <w:pPr>
      <w:spacing w:after="0" w:line="240" w:lineRule="auto"/>
    </w:pPr>
    <w:rPr>
      <w:color w:themeColor="accent1" w:themeShade="BF" w:val="365F91"/>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LightShading-Accent2" w:type="table">
    <w:name w:val="Light Shading Accent 2"/>
    <w:basedOn w:val="TableNormal"/>
    <w:uiPriority w:val="60"/>
    <w:rsid w:val="00FC693F"/>
    <w:pPr>
      <w:spacing w:after="0" w:line="240" w:lineRule="auto"/>
    </w:pPr>
    <w:rPr>
      <w:color w:themeColor="accent2" w:themeShade="BF" w:val="943634"/>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LightShading-Accent3" w:type="table">
    <w:name w:val="Light Shading Accent 3"/>
    <w:basedOn w:val="TableNormal"/>
    <w:uiPriority w:val="60"/>
    <w:rsid w:val="00FC693F"/>
    <w:pPr>
      <w:spacing w:after="0" w:line="240" w:lineRule="auto"/>
    </w:pPr>
    <w:rPr>
      <w:color w:themeColor="accent3" w:themeShade="BF" w:val="76923C"/>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LightShading-Accent4" w:type="table">
    <w:name w:val="Light Shading Accent 4"/>
    <w:basedOn w:val="TableNormal"/>
    <w:uiPriority w:val="60"/>
    <w:rsid w:val="00FC693F"/>
    <w:pPr>
      <w:spacing w:after="0" w:line="240" w:lineRule="auto"/>
    </w:pPr>
    <w:rPr>
      <w:color w:themeColor="accent4" w:themeShade="BF" w:val="5F497A"/>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LightShading-Accent5" w:type="table">
    <w:name w:val="Light Shading Accent 5"/>
    <w:basedOn w:val="TableNormal"/>
    <w:uiPriority w:val="60"/>
    <w:rsid w:val="00FC693F"/>
    <w:pPr>
      <w:spacing w:after="0" w:line="240" w:lineRule="auto"/>
    </w:pPr>
    <w:rPr>
      <w:color w:themeColor="accent5" w:themeShade="BF" w:val="31849B"/>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LightShading-Accent6" w:type="table">
    <w:name w:val="Light Shading Accent 6"/>
    <w:basedOn w:val="TableNormal"/>
    <w:uiPriority w:val="60"/>
    <w:rsid w:val="00FC693F"/>
    <w:pPr>
      <w:spacing w:after="0" w:line="240" w:lineRule="auto"/>
    </w:pPr>
    <w:rPr>
      <w:color w:themeColor="accent6" w:themeShade="BF" w:val="E36C0A"/>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LightList" w:type="table">
    <w:name w:val="Light List"/>
    <w:basedOn w:val="TableNormal"/>
    <w:uiPriority w:val="61"/>
    <w:rsid w:val="00FC693F"/>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LightList-Accent1" w:type="table">
    <w:name w:val="Light List Accent 1"/>
    <w:basedOn w:val="TableNormal"/>
    <w:uiPriority w:val="61"/>
    <w:rsid w:val="00FC693F"/>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LightList-Accent2" w:type="table">
    <w:name w:val="Light List Accent 2"/>
    <w:basedOn w:val="TableNormal"/>
    <w:uiPriority w:val="61"/>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LightList-Accent3" w:type="table">
    <w:name w:val="Light List Accent 3"/>
    <w:basedOn w:val="TableNormal"/>
    <w:uiPriority w:val="61"/>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LightList-Accent4" w:type="table">
    <w:name w:val="Light List Accent 4"/>
    <w:basedOn w:val="TableNormal"/>
    <w:uiPriority w:val="61"/>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LightList-Accent5" w:type="table">
    <w:name w:val="Light List Accent 5"/>
    <w:basedOn w:val="TableNormal"/>
    <w:uiPriority w:val="61"/>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LightList-Accent6" w:type="table">
    <w:name w:val="Light List Accent 6"/>
    <w:basedOn w:val="TableNormal"/>
    <w:uiPriority w:val="61"/>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LightGrid" w:type="table">
    <w:name w:val="Light Grid"/>
    <w:basedOn w:val="TableNormal"/>
    <w:uiPriority w:val="62"/>
    <w:rsid w:val="00CB0664"/>
    <w:pPr>
      <w:spacing w:after="0" w:line="240" w:lineRule="auto"/>
    </w:p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LightGrid-Accent1" w:type="table">
    <w:name w:val="Light Grid Accent 1"/>
    <w:basedOn w:val="TableNormal"/>
    <w:uiPriority w:val="62"/>
    <w:rsid w:val="00CB0664"/>
    <w:pPr>
      <w:spacing w:after="0" w:line="240" w:lineRule="auto"/>
    </w:p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LightGrid-Accent2" w:type="table">
    <w:name w:val="Light Grid Accent 2"/>
    <w:basedOn w:val="TableNormal"/>
    <w:uiPriority w:val="62"/>
    <w:rsid w:val="00CB0664"/>
    <w:pPr>
      <w:spacing w:after="0" w:line="240" w:lineRule="auto"/>
    </w:p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LightGrid-Accent3" w:type="table">
    <w:name w:val="Light Grid Accent 3"/>
    <w:basedOn w:val="TableNormal"/>
    <w:uiPriority w:val="62"/>
    <w:rsid w:val="00CB0664"/>
    <w:pPr>
      <w:spacing w:after="0" w:line="240" w:lineRule="auto"/>
    </w:p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LightGrid-Accent4" w:type="table">
    <w:name w:val="Light Grid Accent 4"/>
    <w:basedOn w:val="TableNormal"/>
    <w:uiPriority w:val="62"/>
    <w:rsid w:val="00CB0664"/>
    <w:pPr>
      <w:spacing w:after="0" w:line="240" w:lineRule="auto"/>
    </w:p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LightGrid-Accent5" w:type="table">
    <w:name w:val="Light Grid Accent 5"/>
    <w:basedOn w:val="TableNormal"/>
    <w:uiPriority w:val="62"/>
    <w:rsid w:val="00CB0664"/>
    <w:pPr>
      <w:spacing w:after="0" w:line="240" w:lineRule="auto"/>
    </w:p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LightGrid-Accent6" w:type="table">
    <w:name w:val="Light Grid Accent 6"/>
    <w:basedOn w:val="TableNormal"/>
    <w:uiPriority w:val="62"/>
    <w:rsid w:val="00CB0664"/>
    <w:pPr>
      <w:spacing w:after="0" w:line="240" w:lineRule="auto"/>
    </w:p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MediumShading1" w:type="table">
    <w:name w:val="Medium Shading 1"/>
    <w:basedOn w:val="TableNormal"/>
    <w:uiPriority w:val="63"/>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MediumShading1-Accent1" w:type="table">
    <w:name w:val="Medium Shading 1 Accent 1"/>
    <w:basedOn w:val="TableNormal"/>
    <w:uiPriority w:val="63"/>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MediumShading1-Accent2" w:type="table">
    <w:name w:val="Medium Shading 1 Accent 2"/>
    <w:basedOn w:val="TableNormal"/>
    <w:uiPriority w:val="63"/>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MediumShading1-Accent3" w:type="table">
    <w:name w:val="Medium Shading 1 Accent 3"/>
    <w:basedOn w:val="TableNormal"/>
    <w:uiPriority w:val="63"/>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MediumShading1-Accent4" w:type="table">
    <w:name w:val="Medium Shading 1 Accent 4"/>
    <w:basedOn w:val="TableNormal"/>
    <w:uiPriority w:val="63"/>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MediumShading1-Accent5" w:type="table">
    <w:name w:val="Medium Shading 1 Accent 5"/>
    <w:basedOn w:val="TableNormal"/>
    <w:uiPriority w:val="63"/>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MediumShading1-Accent6" w:type="table">
    <w:name w:val="Medium Shading 1 Accent 6"/>
    <w:basedOn w:val="TableNormal"/>
    <w:uiPriority w:val="63"/>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MediumShading2" w:type="table">
    <w:name w:val="Medium Shading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1" w:type="table">
    <w:name w:val="Medium Shading 2 Accent 1"/>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2" w:type="table">
    <w:name w:val="Medium Shading 2 Accent 2"/>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3" w:type="table">
    <w:name w:val="Medium Shading 2 Accent 3"/>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4" w:type="table">
    <w:name w:val="Medium Shading 2 Accent 4"/>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5" w:type="table">
    <w:name w:val="Medium Shading 2 Accent 5"/>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Shading2-Accent6" w:type="table">
    <w:name w:val="Medium Shading 2 Accent 6"/>
    <w:basedOn w:val="TableNormal"/>
    <w:uiPriority w:val="64"/>
    <w:rsid w:val="00CB0664"/>
    <w:pPr>
      <w:spacing w:after="0" w:line="240" w:lineRule="auto"/>
    </w:pPr>
    <w:tblPr>
      <w:tblStyleRowBandSize w:val="1"/>
      <w:tblStyleColBandSize w:val="1"/>
      <w:tblInd w:type="dxa" w:w="0"/>
      <w:tblBorders>
        <w:top w:color="auto" w:space="0" w:sz="18" w:val="single"/>
        <w:bottom w:color="auto" w:space="0" w:sz="18" w:val="single"/>
      </w:tblBorders>
      <w:tblCellMar>
        <w:top w:type="dxa" w:w="0"/>
        <w:left w:type="dxa" w:w="108"/>
        <w:bottom w:type="dxa" w:w="0"/>
        <w:right w:type="dxa" w:w="108"/>
      </w:tblCellMar>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MediumList1" w:type="table">
    <w:name w:val="Medium List 1"/>
    <w:basedOn w:val="TableNormal"/>
    <w:uiPriority w:val="65"/>
    <w:rsid w:val="00CB0664"/>
    <w:pPr>
      <w:spacing w:after="0" w:line="240" w:lineRule="auto"/>
    </w:pPr>
    <w:rPr>
      <w:color w:themeColor="text1" w:val="000000"/>
    </w:rPr>
    <w:tblPr>
      <w:tblStyleRowBandSize w:val="1"/>
      <w:tblStyleColBandSize w:val="1"/>
      <w:tblInd w:type="dxa" w:w="0"/>
      <w:tblBorders>
        <w:top w:color="000000" w:space="0" w:sz="8" w:themeColor="text1" w:val="single"/>
        <w:bottom w:color="000000" w:space="0" w:sz="8" w:themeColor="tex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MediumList1-Accent1" w:type="table">
    <w:name w:val="Medium List 1 Accent 1"/>
    <w:basedOn w:val="TableNormal"/>
    <w:uiPriority w:val="65"/>
    <w:rsid w:val="00CB0664"/>
    <w:pPr>
      <w:spacing w:after="0" w:line="240" w:lineRule="auto"/>
    </w:pPr>
    <w:rPr>
      <w:color w:themeColor="text1" w:val="000000"/>
    </w:rPr>
    <w:tblPr>
      <w:tblStyleRowBandSize w:val="1"/>
      <w:tblStyleColBandSize w:val="1"/>
      <w:tblInd w:type="dxa" w:w="0"/>
      <w:tblBorders>
        <w:top w:color="4F81BD" w:space="0" w:sz="8" w:themeColor="accent1" w:val="single"/>
        <w:bottom w:color="4F81BD" w:space="0" w:sz="8" w:themeColor="accent1"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MediumList1-Accent2" w:type="table">
    <w:name w:val="Medium List 1 Accent 2"/>
    <w:basedOn w:val="TableNormal"/>
    <w:uiPriority w:val="65"/>
    <w:rsid w:val="00CB0664"/>
    <w:pPr>
      <w:spacing w:after="0" w:line="240" w:lineRule="auto"/>
    </w:pPr>
    <w:rPr>
      <w:color w:themeColor="text1" w:val="000000"/>
    </w:rPr>
    <w:tblPr>
      <w:tblStyleRowBandSize w:val="1"/>
      <w:tblStyleColBandSize w:val="1"/>
      <w:tblInd w:type="dxa" w:w="0"/>
      <w:tblBorders>
        <w:top w:color="C0504D" w:space="0" w:sz="8" w:themeColor="accent2" w:val="single"/>
        <w:bottom w:color="C0504D" w:space="0" w:sz="8" w:themeColor="accent2"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MediumList1-Accent3" w:type="table">
    <w:name w:val="Medium List 1 Accent 3"/>
    <w:basedOn w:val="TableNormal"/>
    <w:uiPriority w:val="65"/>
    <w:rsid w:val="00CB0664"/>
    <w:pPr>
      <w:spacing w:after="0" w:line="240" w:lineRule="auto"/>
    </w:pPr>
    <w:rPr>
      <w:color w:themeColor="text1" w:val="000000"/>
    </w:rPr>
    <w:tblPr>
      <w:tblStyleRowBandSize w:val="1"/>
      <w:tblStyleColBandSize w:val="1"/>
      <w:tblInd w:type="dxa" w:w="0"/>
      <w:tblBorders>
        <w:top w:color="9BBB59" w:space="0" w:sz="8" w:themeColor="accent3" w:val="single"/>
        <w:bottom w:color="9BBB59" w:space="0" w:sz="8" w:themeColor="accent3"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MediumList1-Accent4" w:type="table">
    <w:name w:val="Medium List 1 Accent 4"/>
    <w:basedOn w:val="TableNormal"/>
    <w:uiPriority w:val="65"/>
    <w:rsid w:val="00CB0664"/>
    <w:pPr>
      <w:spacing w:after="0" w:line="240" w:lineRule="auto"/>
    </w:pPr>
    <w:rPr>
      <w:color w:themeColor="text1" w:val="000000"/>
    </w:rPr>
    <w:tblPr>
      <w:tblStyleRowBandSize w:val="1"/>
      <w:tblStyleColBandSize w:val="1"/>
      <w:tblInd w:type="dxa" w:w="0"/>
      <w:tblBorders>
        <w:top w:color="8064A2" w:space="0" w:sz="8" w:themeColor="accent4" w:val="single"/>
        <w:bottom w:color="8064A2" w:space="0" w:sz="8" w:themeColor="accent4"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MediumList1-Accent5" w:type="table">
    <w:name w:val="Medium List 1 Accent 5"/>
    <w:basedOn w:val="TableNormal"/>
    <w:uiPriority w:val="65"/>
    <w:rsid w:val="00CB0664"/>
    <w:pPr>
      <w:spacing w:after="0" w:line="240" w:lineRule="auto"/>
    </w:pPr>
    <w:rPr>
      <w:color w:themeColor="text1" w:val="000000"/>
    </w:rPr>
    <w:tblPr>
      <w:tblStyleRowBandSize w:val="1"/>
      <w:tblStyleColBandSize w:val="1"/>
      <w:tblInd w:type="dxa" w:w="0"/>
      <w:tblBorders>
        <w:top w:color="4BACC6" w:space="0" w:sz="8" w:themeColor="accent5" w:val="single"/>
        <w:bottom w:color="4BACC6" w:space="0" w:sz="8" w:themeColor="accent5"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MediumList1-Accent6" w:type="table">
    <w:name w:val="Medium List 1 Accent 6"/>
    <w:basedOn w:val="TableNormal"/>
    <w:uiPriority w:val="65"/>
    <w:rsid w:val="00CB0664"/>
    <w:pPr>
      <w:spacing w:after="0" w:line="240" w:lineRule="auto"/>
    </w:pPr>
    <w:rPr>
      <w:color w:themeColor="text1" w:val="000000"/>
    </w:rPr>
    <w:tblPr>
      <w:tblStyleRowBandSize w:val="1"/>
      <w:tblStyleColBandSize w:val="1"/>
      <w:tblInd w:type="dxa" w:w="0"/>
      <w:tblBorders>
        <w:top w:color="F79646" w:space="0" w:sz="8" w:themeColor="accent6" w:val="single"/>
        <w:bottom w:color="F79646" w:space="0" w:sz="8" w:themeColor="accent6" w:val="single"/>
      </w:tblBorders>
      <w:tblCellMar>
        <w:top w:type="dxa" w:w="0"/>
        <w:left w:type="dxa" w:w="108"/>
        <w:bottom w:type="dxa" w:w="0"/>
        <w:right w:type="dxa" w:w="108"/>
      </w:tblCellMar>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MediumList2" w:type="table">
    <w:name w:val="Medium Lis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type="dxa" w:w="0"/>
        <w:left w:type="dxa" w:w="108"/>
        <w:bottom w:type="dxa" w:w="0"/>
        <w:right w:type="dxa" w:w="108"/>
      </w:tblCellMar>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1" w:type="table">
    <w:name w:val="Medium List 2 Accent 1"/>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type="dxa" w:w="0"/>
        <w:left w:type="dxa" w:w="108"/>
        <w:bottom w:type="dxa" w:w="0"/>
        <w:right w:type="dxa" w:w="108"/>
      </w:tblCellMar>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2" w:type="table">
    <w:name w:val="Medium List 2 Accent 2"/>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type="dxa" w:w="0"/>
        <w:left w:type="dxa" w:w="108"/>
        <w:bottom w:type="dxa" w:w="0"/>
        <w:right w:type="dxa" w:w="108"/>
      </w:tblCellMar>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3" w:type="table">
    <w:name w:val="Medium List 2 Accent 3"/>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type="dxa" w:w="0"/>
        <w:left w:type="dxa" w:w="108"/>
        <w:bottom w:type="dxa" w:w="0"/>
        <w:right w:type="dxa" w:w="108"/>
      </w:tblCellMar>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4" w:type="table">
    <w:name w:val="Medium List 2 Accent 4"/>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type="dxa" w:w="0"/>
        <w:left w:type="dxa" w:w="108"/>
        <w:bottom w:type="dxa" w:w="0"/>
        <w:right w:type="dxa" w:w="108"/>
      </w:tblCellMar>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5" w:type="table">
    <w:name w:val="Medium List 2 Accent 5"/>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type="dxa" w:w="0"/>
        <w:left w:type="dxa" w:w="108"/>
        <w:bottom w:type="dxa" w:w="0"/>
        <w:right w:type="dxa" w:w="108"/>
      </w:tblCellMar>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MediumList2-Accent6" w:type="table">
    <w:name w:val="Medium List 2 Accent 6"/>
    <w:basedOn w:val="TableNormal"/>
    <w:uiPriority w:val="66"/>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type="dxa" w:w="0"/>
        <w:left w:type="dxa" w:w="108"/>
        <w:bottom w:type="dxa" w:w="0"/>
        <w:right w:type="dxa" w:w="108"/>
      </w:tblCellMar>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MediumGrid1" w:type="table">
    <w:name w:val="Medium Grid 1"/>
    <w:basedOn w:val="TableNormal"/>
    <w:uiPriority w:val="67"/>
    <w:rsid w:val="00CB0664"/>
    <w:pPr>
      <w:spacing w:after="0" w:line="240" w:lineRule="auto"/>
    </w:pPr>
    <w:tblPr>
      <w:tblStyleRowBandSize w:val="1"/>
      <w:tblStyleColBandSize w:val="1"/>
      <w:tblInd w:type="dxa" w:w="0"/>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CellMar>
        <w:top w:type="dxa" w:w="0"/>
        <w:left w:type="dxa" w:w="108"/>
        <w:bottom w:type="dxa" w:w="0"/>
        <w:right w:type="dxa" w:w="108"/>
      </w:tblCellMar>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MediumGrid1-Accent1" w:type="table">
    <w:name w:val="Medium Grid 1 Accent 1"/>
    <w:basedOn w:val="TableNormal"/>
    <w:uiPriority w:val="67"/>
    <w:rsid w:val="00CB0664"/>
    <w:pPr>
      <w:spacing w:after="0" w:line="240" w:lineRule="auto"/>
    </w:pPr>
    <w:tblPr>
      <w:tblStyleRowBandSize w:val="1"/>
      <w:tblStyleColBandSize w:val="1"/>
      <w:tblInd w:type="dxa" w:w="0"/>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CellMar>
        <w:top w:type="dxa" w:w="0"/>
        <w:left w:type="dxa" w:w="108"/>
        <w:bottom w:type="dxa" w:w="0"/>
        <w:right w:type="dxa" w:w="108"/>
      </w:tblCellMar>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MediumGrid1-Accent2" w:type="table">
    <w:name w:val="Medium Grid 1 Accent 2"/>
    <w:basedOn w:val="TableNormal"/>
    <w:uiPriority w:val="67"/>
    <w:rsid w:val="00CB0664"/>
    <w:pPr>
      <w:spacing w:after="0" w:line="240" w:lineRule="auto"/>
    </w:pPr>
    <w:tblPr>
      <w:tblStyleRowBandSize w:val="1"/>
      <w:tblStyleColBandSize w:val="1"/>
      <w:tblInd w:type="dxa" w:w="0"/>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CellMar>
        <w:top w:type="dxa" w:w="0"/>
        <w:left w:type="dxa" w:w="108"/>
        <w:bottom w:type="dxa" w:w="0"/>
        <w:right w:type="dxa" w:w="108"/>
      </w:tblCellMar>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MediumGrid1-Accent3" w:type="table">
    <w:name w:val="Medium Grid 1 Accent 3"/>
    <w:basedOn w:val="TableNormal"/>
    <w:uiPriority w:val="67"/>
    <w:rsid w:val="00CB0664"/>
    <w:pPr>
      <w:spacing w:after="0" w:line="240" w:lineRule="auto"/>
    </w:pPr>
    <w:tblPr>
      <w:tblStyleRowBandSize w:val="1"/>
      <w:tblStyleColBandSize w:val="1"/>
      <w:tblInd w:type="dxa" w:w="0"/>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CellMar>
        <w:top w:type="dxa" w:w="0"/>
        <w:left w:type="dxa" w:w="108"/>
        <w:bottom w:type="dxa" w:w="0"/>
        <w:right w:type="dxa" w:w="108"/>
      </w:tblCellMar>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MediumGrid1-Accent4" w:type="table">
    <w:name w:val="Medium Grid 1 Accent 4"/>
    <w:basedOn w:val="TableNormal"/>
    <w:uiPriority w:val="67"/>
    <w:rsid w:val="00CB0664"/>
    <w:pPr>
      <w:spacing w:after="0" w:line="240" w:lineRule="auto"/>
    </w:pPr>
    <w:tblPr>
      <w:tblStyleRowBandSize w:val="1"/>
      <w:tblStyleColBandSize w:val="1"/>
      <w:tblInd w:type="dxa" w:w="0"/>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CellMar>
        <w:top w:type="dxa" w:w="0"/>
        <w:left w:type="dxa" w:w="108"/>
        <w:bottom w:type="dxa" w:w="0"/>
        <w:right w:type="dxa" w:w="108"/>
      </w:tblCellMar>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MediumGrid1-Accent5" w:type="table">
    <w:name w:val="Medium Grid 1 Accent 5"/>
    <w:basedOn w:val="TableNormal"/>
    <w:uiPriority w:val="67"/>
    <w:rsid w:val="00CB0664"/>
    <w:pPr>
      <w:spacing w:after="0" w:line="240" w:lineRule="auto"/>
    </w:pPr>
    <w:tblPr>
      <w:tblStyleRowBandSize w:val="1"/>
      <w:tblStyleColBandSize w:val="1"/>
      <w:tblInd w:type="dxa" w:w="0"/>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CellMar>
        <w:top w:type="dxa" w:w="0"/>
        <w:left w:type="dxa" w:w="108"/>
        <w:bottom w:type="dxa" w:w="0"/>
        <w:right w:type="dxa" w:w="108"/>
      </w:tblCellMar>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MediumGrid1-Accent6" w:type="table">
    <w:name w:val="Medium Grid 1 Accent 6"/>
    <w:basedOn w:val="TableNormal"/>
    <w:uiPriority w:val="67"/>
    <w:rsid w:val="00CB0664"/>
    <w:pPr>
      <w:spacing w:after="0" w:line="240" w:lineRule="auto"/>
    </w:pPr>
    <w:tblPr>
      <w:tblStyleRowBandSize w:val="1"/>
      <w:tblStyleColBandSize w:val="1"/>
      <w:tblInd w:type="dxa" w:w="0"/>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CellMar>
        <w:top w:type="dxa" w:w="0"/>
        <w:left w:type="dxa" w:w="108"/>
        <w:bottom w:type="dxa" w:w="0"/>
        <w:right w:type="dxa" w:w="108"/>
      </w:tblCellMar>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MediumGrid2" w:type="table">
    <w:name w:val="Medium Grid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type="dxa" w:w="0"/>
        <w:left w:type="dxa" w:w="108"/>
        <w:bottom w:type="dxa" w:w="0"/>
        <w:right w:type="dxa" w:w="108"/>
      </w:tblCellMar>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MediumGrid2-Accent1" w:type="table">
    <w:name w:val="Medium Grid 2 Accent 1"/>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type="dxa" w:w="0"/>
        <w:left w:type="dxa" w:w="108"/>
        <w:bottom w:type="dxa" w:w="0"/>
        <w:right w:type="dxa" w:w="108"/>
      </w:tblCellMar>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MediumGrid2-Accent2" w:type="table">
    <w:name w:val="Medium Grid 2 Accent 2"/>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type="dxa" w:w="0"/>
        <w:left w:type="dxa" w:w="108"/>
        <w:bottom w:type="dxa" w:w="0"/>
        <w:right w:type="dxa" w:w="108"/>
      </w:tblCellMar>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MediumGrid2-Accent3" w:type="table">
    <w:name w:val="Medium Grid 2 Accent 3"/>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type="dxa" w:w="0"/>
        <w:left w:type="dxa" w:w="108"/>
        <w:bottom w:type="dxa" w:w="0"/>
        <w:right w:type="dxa" w:w="108"/>
      </w:tblCellMar>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MediumGrid2-Accent4" w:type="table">
    <w:name w:val="Medium Grid 2 Accent 4"/>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type="dxa" w:w="0"/>
        <w:left w:type="dxa" w:w="108"/>
        <w:bottom w:type="dxa" w:w="0"/>
        <w:right w:type="dxa" w:w="108"/>
      </w:tblCellMar>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MediumGrid2-Accent5" w:type="table">
    <w:name w:val="Medium Grid 2 Accent 5"/>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type="dxa" w:w="0"/>
        <w:left w:type="dxa" w:w="108"/>
        <w:bottom w:type="dxa" w:w="0"/>
        <w:right w:type="dxa" w:w="108"/>
      </w:tblCellMar>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MediumGrid2-Accent6" w:type="table">
    <w:name w:val="Medium Grid 2 Accent 6"/>
    <w:basedOn w:val="TableNormal"/>
    <w:uiPriority w:val="68"/>
    <w:rsid w:val="00CB0664"/>
    <w:pPr>
      <w:spacing w:after="0" w:line="240" w:lineRule="auto"/>
    </w:pPr>
    <w:rPr>
      <w:rFonts w:asciiTheme="majorHAnsi" w:cstheme="majorBidi" w:eastAsiaTheme="majorEastAsia" w:hAnsiTheme="majorHAnsi"/>
      <w:color w:themeColor="text1" w:val="000000"/>
    </w:rPr>
    <w:tblPr>
      <w:tblStyleRowBandSize w:val="1"/>
      <w:tblStyleColBandSize w:val="1"/>
      <w:tblInd w:type="dxa" w:w="0"/>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type="dxa" w:w="0"/>
        <w:left w:type="dxa" w:w="108"/>
        <w:bottom w:type="dxa" w:w="0"/>
        <w:right w:type="dxa" w:w="108"/>
      </w:tblCellMar>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MediumGrid3" w:type="table">
    <w:name w:val="Medium Grid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MediumGrid3-Accent1" w:type="table">
    <w:name w:val="Medium Grid 3 Accent 1"/>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MediumGrid3-Accent2" w:type="table">
    <w:name w:val="Medium Grid 3 Accent 2"/>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MediumGrid3-Accent3" w:type="table">
    <w:name w:val="Medium Grid 3 Accent 3"/>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MediumGrid3-Accent4" w:type="table">
    <w:name w:val="Medium Grid 3 Accent 4"/>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MediumGrid3-Accent5" w:type="table">
    <w:name w:val="Medium Grid 3 Accent 5"/>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MediumGrid3-Accent6" w:type="table">
    <w:name w:val="Medium Grid 3 Accent 6"/>
    <w:basedOn w:val="TableNormal"/>
    <w:uiPriority w:val="69"/>
    <w:rsid w:val="00CB0664"/>
    <w:pPr>
      <w:spacing w:after="0" w:line="240" w:lineRule="auto"/>
    </w:pPr>
    <w:tblPr>
      <w:tblStyleRowBandSize w:val="1"/>
      <w:tblStyleColBandSize w:val="1"/>
      <w:tblInd w:type="dxa" w:w="0"/>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type="dxa" w:w="0"/>
        <w:left w:type="dxa" w:w="108"/>
        <w:bottom w:type="dxa" w:w="0"/>
        <w:right w:type="dxa" w:w="108"/>
      </w:tblCellMar>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DarkList" w:type="table">
    <w:name w:val="Dark List"/>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DarkList-Accent1" w:type="table">
    <w:name w:val="Dark List Accent 1"/>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DarkList-Accent2" w:type="table">
    <w:name w:val="Dark List Accent 2"/>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DarkList-Accent3" w:type="table">
    <w:name w:val="Dark List Accent 3"/>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DarkList-Accent4" w:type="table">
    <w:name w:val="Dark List Accent 4"/>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DarkList-Accent5" w:type="table">
    <w:name w:val="Dark List Accent 5"/>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DarkList-Accent6" w:type="table">
    <w:name w:val="Dark List Accent 6"/>
    <w:basedOn w:val="TableNormal"/>
    <w:uiPriority w:val="70"/>
    <w:rsid w:val="00CB0664"/>
    <w:pPr>
      <w:spacing w:after="0" w:line="240" w:lineRule="auto"/>
    </w:pPr>
    <w:rPr>
      <w:color w:themeColor="background1" w:val="FFFFFF"/>
    </w:rPr>
    <w:tblPr>
      <w:tblStyleRowBandSize w:val="1"/>
      <w:tblStyleColBandSize w:val="1"/>
      <w:tblInd w:type="dxa" w:w="0"/>
      <w:tblCellMar>
        <w:top w:type="dxa" w:w="0"/>
        <w:left w:type="dxa" w:w="108"/>
        <w:bottom w:type="dxa" w:w="0"/>
        <w:right w:type="dxa" w:w="108"/>
      </w:tblCellMar>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ColorfulShading" w:type="table">
    <w:name w:val="Colorful Shading"/>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ColorfulShading-Accent1" w:type="table">
    <w:name w:val="Colorful Shading Accent 1"/>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ColorfulShading-Accent2" w:type="table">
    <w:name w:val="Colorful Shading Accent 2"/>
    <w:basedOn w:val="TableNormal"/>
    <w:uiPriority w:val="71"/>
    <w:rsid w:val="00CB0664"/>
    <w:pPr>
      <w:spacing w:after="0" w:line="240" w:lineRule="auto"/>
    </w:pPr>
    <w:rPr>
      <w:color w:themeColor="text1" w:val="000000"/>
    </w:rPr>
    <w:tblPr>
      <w:tblStyleRowBandSize w:val="1"/>
      <w:tblStyleColBandSize w:val="1"/>
      <w:tblInd w:type="dxa" w:w="0"/>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ColorfulShading-Accent3" w:type="table">
    <w:name w:val="Colorful Shading Accent 3"/>
    <w:basedOn w:val="TableNormal"/>
    <w:uiPriority w:val="71"/>
    <w:rsid w:val="00CB0664"/>
    <w:pPr>
      <w:spacing w:after="0" w:line="240" w:lineRule="auto"/>
    </w:pPr>
    <w:rPr>
      <w:color w:themeColor="text1" w:val="000000"/>
    </w:rPr>
    <w:tblPr>
      <w:tblStyleRowBandSize w:val="1"/>
      <w:tblStyleColBandSize w:val="1"/>
      <w:tblInd w:type="dxa" w:w="0"/>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ColorfulShading-Accent4" w:type="table">
    <w:name w:val="Colorful Shading Accent 4"/>
    <w:basedOn w:val="TableNormal"/>
    <w:uiPriority w:val="71"/>
    <w:rsid w:val="00CB0664"/>
    <w:pPr>
      <w:spacing w:after="0" w:line="240" w:lineRule="auto"/>
    </w:pPr>
    <w:rPr>
      <w:color w:themeColor="text1" w:val="000000"/>
    </w:rPr>
    <w:tblPr>
      <w:tblStyleRowBandSize w:val="1"/>
      <w:tblStyleColBandSize w:val="1"/>
      <w:tblInd w:type="dxa" w:w="0"/>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ColorfulShading-Accent5" w:type="table">
    <w:name w:val="Colorful Shading Accent 5"/>
    <w:basedOn w:val="TableNormal"/>
    <w:uiPriority w:val="71"/>
    <w:rsid w:val="00CB0664"/>
    <w:pPr>
      <w:spacing w:after="0" w:line="240" w:lineRule="auto"/>
    </w:pPr>
    <w:rPr>
      <w:color w:themeColor="text1" w:val="000000"/>
    </w:rPr>
    <w:tblPr>
      <w:tblStyleRowBandSize w:val="1"/>
      <w:tblStyleColBandSize w:val="1"/>
      <w:tblInd w:type="dxa" w:w="0"/>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ColorfulShading-Accent6" w:type="table">
    <w:name w:val="Colorful Shading Accent 6"/>
    <w:basedOn w:val="TableNormal"/>
    <w:uiPriority w:val="71"/>
    <w:rsid w:val="00CB0664"/>
    <w:pPr>
      <w:spacing w:after="0" w:line="240" w:lineRule="auto"/>
    </w:pPr>
    <w:rPr>
      <w:color w:themeColor="text1" w:val="000000"/>
    </w:rPr>
    <w:tblPr>
      <w:tblStyleRowBandSize w:val="1"/>
      <w:tblStyleColBandSize w:val="1"/>
      <w:tblInd w:type="dxa" w:w="0"/>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type="dxa" w:w="0"/>
        <w:left w:type="dxa" w:w="108"/>
        <w:bottom w:type="dxa" w:w="0"/>
        <w:right w:type="dxa" w:w="108"/>
      </w:tblCellMar>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ColorfulList" w:type="table">
    <w:name w:val="Colorful List"/>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ColorfulList-Accent1" w:type="table">
    <w:name w:val="Colorful List Accent 1"/>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ColorfulList-Accent2" w:type="table">
    <w:name w:val="Colorful List Accent 2"/>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ColorfulList-Accent3" w:type="table">
    <w:name w:val="Colorful List Accent 3"/>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ColorfulList-Accent4" w:type="table">
    <w:name w:val="Colorful List Accent 4"/>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ColorfulList-Accent5" w:type="table">
    <w:name w:val="Colorful List Accent 5"/>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ColorfulList-Accent6" w:type="table">
    <w:name w:val="Colorful List Accent 6"/>
    <w:basedOn w:val="TableNormal"/>
    <w:uiPriority w:val="72"/>
    <w:rsid w:val="00CB0664"/>
    <w:pPr>
      <w:spacing w:after="0" w:line="240" w:lineRule="auto"/>
    </w:pPr>
    <w:rPr>
      <w:color w:themeColor="text1" w:val="000000"/>
    </w:rPr>
    <w:tblPr>
      <w:tblStyleRowBandSize w:val="1"/>
      <w:tblStyleColBandSize w:val="1"/>
      <w:tblInd w:type="dxa" w:w="0"/>
      <w:tblCellMar>
        <w:top w:type="dxa" w:w="0"/>
        <w:left w:type="dxa" w:w="108"/>
        <w:bottom w:type="dxa" w:w="0"/>
        <w:right w:type="dxa" w:w="108"/>
      </w:tblCellMar>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ColorfulGrid" w:type="table">
    <w:name w:val="Colorful Grid"/>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ColorfulGrid-Accent1" w:type="table">
    <w:name w:val="Colorful Grid Accent 1"/>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ColorfulGrid-Accent2" w:type="table">
    <w:name w:val="Colorful Grid Accent 2"/>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ColorfulGrid-Accent3" w:type="table">
    <w:name w:val="Colorful Grid Accent 3"/>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ColorfulGrid-Accent4" w:type="table">
    <w:name w:val="Colorful Grid Accent 4"/>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ColorfulGrid-Accent5" w:type="table">
    <w:name w:val="Colorful Grid Accent 5"/>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ColorfulGrid-Accent6" w:type="table">
    <w:name w:val="Colorful Grid Accent 6"/>
    <w:basedOn w:val="TableNormal"/>
    <w:uiPriority w:val="73"/>
    <w:rsid w:val="00CB0664"/>
    <w:pPr>
      <w:spacing w:after="0" w:line="240" w:lineRule="auto"/>
    </w:pPr>
    <w:rPr>
      <w:color w:themeColor="text1" w:val="000000"/>
    </w:rPr>
    <w:tblPr>
      <w:tblStyleRowBandSize w:val="1"/>
      <w:tblStyleColBandSize w:val="1"/>
      <w:tblInd w:type="dxa" w:w="0"/>
      <w:tblBorders>
        <w:insideH w:color="FFFFFF" w:space="0" w:sz="4" w:themeColor="background1" w:val="single"/>
      </w:tblBorders>
      <w:tblCellMar>
        <w:top w:type="dxa" w:w="0"/>
        <w:left w:type="dxa" w:w="108"/>
        <w:bottom w:type="dxa" w:w="0"/>
        <w:right w:type="dxa" w:w="108"/>
      </w:tblCellMar>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2026-09-25T12:06:58Z</dcterms:created>
  <dcterms:modified xsi:type="dcterms:W3CDTF">2026-09-25T12:06:58Z</dcterms:modified>
</cp:coreProperties>
</file>

<file path=docProps/custom.xml><?xml version="1.0" encoding="utf-8"?>
<Properties xmlns="http://schemas.openxmlformats.org/officeDocument/2006/custom-properties" xmlns:vt="http://schemas.openxmlformats.org/officeDocument/2006/docPropsVTypes"/>
</file>